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163" w14:textId="3E149666" w:rsidR="00BE7031" w:rsidRPr="007C5B7D" w:rsidRDefault="00BE7031" w:rsidP="00EA06F8">
      <w:pPr>
        <w:pStyle w:val="form-e"/>
        <w:spacing w:line="240" w:lineRule="auto"/>
        <w:rPr>
          <w:sz w:val="24"/>
          <w:szCs w:val="24"/>
        </w:rPr>
      </w:pPr>
      <w:r w:rsidRPr="007C5B7D">
        <w:rPr>
          <w:sz w:val="24"/>
          <w:szCs w:val="24"/>
        </w:rPr>
        <w:t>Form</w:t>
      </w:r>
      <w:r w:rsidR="00865950">
        <w:rPr>
          <w:sz w:val="24"/>
          <w:szCs w:val="24"/>
        </w:rPr>
        <w:t xml:space="preserve"> 2.2G</w:t>
      </w:r>
    </w:p>
    <w:p w14:paraId="01DAFCA0" w14:textId="77777777" w:rsidR="00BE7031" w:rsidRPr="007C5B7D" w:rsidRDefault="00BE7031" w:rsidP="00EA06F8">
      <w:pPr>
        <w:pStyle w:val="act-e"/>
        <w:spacing w:line="240" w:lineRule="auto"/>
        <w:rPr>
          <w:sz w:val="24"/>
          <w:szCs w:val="24"/>
        </w:rPr>
      </w:pPr>
      <w:r w:rsidRPr="007C5B7D">
        <w:rPr>
          <w:sz w:val="24"/>
          <w:szCs w:val="24"/>
        </w:rPr>
        <w:t>Courts of Justice Act</w:t>
      </w:r>
    </w:p>
    <w:p w14:paraId="491A2871" w14:textId="6786D53B" w:rsidR="00BE7031" w:rsidRPr="007C5B7D" w:rsidRDefault="00D45891" w:rsidP="00EA06F8">
      <w:pPr>
        <w:pStyle w:val="subject-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VEXATIOUS LITIGANT </w:t>
      </w:r>
      <w:r w:rsidR="00BE7031" w:rsidRPr="007C5B7D">
        <w:rPr>
          <w:sz w:val="24"/>
          <w:szCs w:val="24"/>
        </w:rPr>
        <w:t>order</w:t>
      </w:r>
    </w:p>
    <w:p w14:paraId="0B8E583D" w14:textId="77777777" w:rsidR="00BE7031" w:rsidRPr="007C5B7D" w:rsidRDefault="00BE7031" w:rsidP="00EA06F8">
      <w:pPr>
        <w:pStyle w:val="zcourt-e"/>
        <w:spacing w:line="240" w:lineRule="auto"/>
        <w:rPr>
          <w:sz w:val="24"/>
          <w:szCs w:val="24"/>
        </w:rPr>
      </w:pPr>
      <w:r w:rsidRPr="007C5B7D">
        <w:rPr>
          <w:sz w:val="24"/>
          <w:szCs w:val="24"/>
        </w:rPr>
        <w:t>(Court file no.)</w:t>
      </w:r>
    </w:p>
    <w:p w14:paraId="6EDBD6D4" w14:textId="77777777" w:rsidR="00BE7031" w:rsidRPr="007C5B7D" w:rsidRDefault="00BE7031" w:rsidP="00EA06F8">
      <w:pPr>
        <w:pStyle w:val="zheading3-e"/>
        <w:spacing w:after="319" w:line="240" w:lineRule="auto"/>
        <w:rPr>
          <w:i/>
          <w:sz w:val="24"/>
          <w:szCs w:val="24"/>
        </w:rPr>
      </w:pPr>
      <w:r w:rsidRPr="007C5B7D">
        <w:rPr>
          <w:i/>
          <w:sz w:val="24"/>
          <w:szCs w:val="24"/>
        </w:rPr>
        <w:t>(Court)</w:t>
      </w:r>
    </w:p>
    <w:p w14:paraId="02CD657A" w14:textId="2F833A90" w:rsidR="00BE7031" w:rsidRPr="007C5B7D" w:rsidRDefault="00BE7031" w:rsidP="00EA06F8">
      <w:pPr>
        <w:pStyle w:val="zname-e"/>
        <w:spacing w:after="319" w:line="240" w:lineRule="auto"/>
        <w:jc w:val="left"/>
        <w:rPr>
          <w:iCs/>
          <w:sz w:val="24"/>
          <w:szCs w:val="24"/>
        </w:rPr>
      </w:pPr>
      <w:r w:rsidRPr="007C5B7D">
        <w:rPr>
          <w:iCs/>
          <w:sz w:val="24"/>
          <w:szCs w:val="24"/>
        </w:rPr>
        <w:t>(Name of judge)</w:t>
      </w:r>
      <w:r w:rsidRPr="007C5B7D">
        <w:rPr>
          <w:iCs/>
          <w:sz w:val="24"/>
          <w:szCs w:val="24"/>
        </w:rPr>
        <w:tab/>
      </w:r>
      <w:r w:rsidRPr="007C5B7D">
        <w:rPr>
          <w:iCs/>
          <w:sz w:val="24"/>
          <w:szCs w:val="24"/>
        </w:rPr>
        <w:tab/>
      </w:r>
      <w:r w:rsidRPr="007C5B7D">
        <w:rPr>
          <w:iCs/>
          <w:sz w:val="24"/>
          <w:szCs w:val="24"/>
        </w:rPr>
        <w:tab/>
      </w:r>
      <w:r w:rsidRPr="007C5B7D">
        <w:rPr>
          <w:iCs/>
          <w:sz w:val="24"/>
          <w:szCs w:val="24"/>
        </w:rPr>
        <w:tab/>
      </w:r>
      <w:r w:rsidR="00EA06F8" w:rsidRPr="007C5B7D">
        <w:rPr>
          <w:iCs/>
          <w:sz w:val="24"/>
          <w:szCs w:val="24"/>
        </w:rPr>
        <w:t xml:space="preserve">              </w:t>
      </w:r>
      <w:r w:rsidR="00A25C32">
        <w:rPr>
          <w:iCs/>
          <w:sz w:val="24"/>
          <w:szCs w:val="24"/>
        </w:rPr>
        <w:tab/>
        <w:t xml:space="preserve">             </w:t>
      </w:r>
      <w:proofErr w:type="gramStart"/>
      <w:r w:rsidR="00A25C32">
        <w:rPr>
          <w:iCs/>
          <w:sz w:val="24"/>
          <w:szCs w:val="24"/>
        </w:rPr>
        <w:t xml:space="preserve">   </w:t>
      </w:r>
      <w:r w:rsidRPr="007C5B7D">
        <w:rPr>
          <w:iCs/>
          <w:sz w:val="24"/>
          <w:szCs w:val="24"/>
        </w:rPr>
        <w:t>(</w:t>
      </w:r>
      <w:proofErr w:type="gramEnd"/>
      <w:r w:rsidRPr="007C5B7D">
        <w:rPr>
          <w:iCs/>
          <w:sz w:val="24"/>
          <w:szCs w:val="24"/>
        </w:rPr>
        <w:t>Day and date order made)</w:t>
      </w:r>
    </w:p>
    <w:p w14:paraId="1CBAA083" w14:textId="50D077DD" w:rsidR="00BE7031" w:rsidRPr="007C5B7D" w:rsidRDefault="00C579C0" w:rsidP="00EA06F8">
      <w:pPr>
        <w:pStyle w:val="zcourt-e"/>
        <w:spacing w:after="0" w:line="240" w:lineRule="auto"/>
        <w:jc w:val="left"/>
        <w:rPr>
          <w:i w:val="0"/>
          <w:iCs/>
          <w:sz w:val="24"/>
          <w:szCs w:val="24"/>
        </w:rPr>
      </w:pPr>
      <w:r w:rsidRPr="007C5B7D">
        <w:rPr>
          <w:i w:val="0"/>
          <w:iCs/>
          <w:sz w:val="24"/>
          <w:szCs w:val="24"/>
        </w:rPr>
        <w:t>[SEAL]</w:t>
      </w:r>
    </w:p>
    <w:p w14:paraId="3EAC74FE" w14:textId="77777777" w:rsidR="00BE7031" w:rsidRPr="007C5B7D" w:rsidRDefault="00BE7031" w:rsidP="00EA06F8">
      <w:pPr>
        <w:pStyle w:val="zheading3-e"/>
        <w:spacing w:after="319" w:line="240" w:lineRule="auto"/>
        <w:rPr>
          <w:i/>
          <w:iCs/>
          <w:sz w:val="24"/>
          <w:szCs w:val="24"/>
        </w:rPr>
      </w:pPr>
      <w:r w:rsidRPr="007C5B7D">
        <w:rPr>
          <w:i/>
          <w:iCs/>
          <w:sz w:val="24"/>
          <w:szCs w:val="24"/>
        </w:rPr>
        <w:t>(Title of Proceeding)</w:t>
      </w:r>
    </w:p>
    <w:p w14:paraId="791115FA" w14:textId="77777777" w:rsidR="00BE7031" w:rsidRPr="007C5B7D" w:rsidRDefault="00BE7031" w:rsidP="00EA06F8">
      <w:pPr>
        <w:rPr>
          <w:snapToGrid w:val="0"/>
        </w:rPr>
      </w:pPr>
    </w:p>
    <w:p w14:paraId="3D1C1D38" w14:textId="76FDD24C" w:rsidR="00C22401" w:rsidRPr="002D3051" w:rsidRDefault="00D45891" w:rsidP="002D3051">
      <w:pPr>
        <w:pStyle w:val="zheadingx-e"/>
        <w:spacing w:after="319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VEXATIOUS LITIGANT </w:t>
      </w:r>
      <w:r w:rsidR="00BE7031" w:rsidRPr="007C5B7D">
        <w:rPr>
          <w:sz w:val="24"/>
          <w:szCs w:val="24"/>
        </w:rPr>
        <w:t>order</w:t>
      </w:r>
    </w:p>
    <w:p w14:paraId="3E58224F" w14:textId="5F5504F8" w:rsidR="00672395" w:rsidRDefault="00672395" w:rsidP="00EA06F8">
      <w:pPr>
        <w:pStyle w:val="zparawtab-e"/>
        <w:spacing w:after="319" w:line="240" w:lineRule="auto"/>
        <w:rPr>
          <w:sz w:val="24"/>
          <w:szCs w:val="24"/>
        </w:rPr>
      </w:pPr>
      <w:r w:rsidRPr="00711599">
        <w:rPr>
          <w:i/>
          <w:iCs/>
          <w:sz w:val="24"/>
          <w:szCs w:val="24"/>
        </w:rPr>
        <w:t>(Select one and complete:)</w:t>
      </w:r>
    </w:p>
    <w:p w14:paraId="36199D9A" w14:textId="6A7971EC" w:rsidR="00672395" w:rsidRDefault="00E358EA" w:rsidP="00FE20D3">
      <w:pPr>
        <w:pStyle w:val="NormalBody"/>
        <w:rPr>
          <w:i/>
        </w:rPr>
      </w:pPr>
      <w:r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lang w:val="en-CA"/>
        </w:rPr>
        <w:instrText xml:space="preserve"> FORMCHECKBOX </w:instrText>
      </w:r>
      <w:r w:rsidR="006C0D16">
        <w:rPr>
          <w:lang w:val="en-CA"/>
        </w:rPr>
      </w:r>
      <w:r w:rsidR="006C0D16">
        <w:rPr>
          <w:lang w:val="en-CA"/>
        </w:rPr>
        <w:fldChar w:fldCharType="separate"/>
      </w:r>
      <w:r>
        <w:rPr>
          <w:lang w:val="en-CA"/>
        </w:rPr>
        <w:fldChar w:fldCharType="end"/>
      </w:r>
      <w:bookmarkEnd w:id="0"/>
      <w:r w:rsidR="00672395" w:rsidRPr="008B2870">
        <w:t xml:space="preserve"> </w:t>
      </w:r>
      <w:r w:rsidR="00672395" w:rsidRPr="008B2870">
        <w:rPr>
          <w:lang w:val="en-CA"/>
        </w:rPr>
        <w:t xml:space="preserve"> </w:t>
      </w:r>
      <w:r w:rsidR="00672395">
        <w:rPr>
          <w:lang w:val="en-CA"/>
        </w:rPr>
        <w:t xml:space="preserve">THE </w:t>
      </w:r>
      <w:r w:rsidR="00711599">
        <w:t>MOTION</w:t>
      </w:r>
      <w:r w:rsidR="00672395">
        <w:t xml:space="preserve"> FOR A VEXATIOUS LITIGANT ORDER</w:t>
      </w:r>
      <w:r w:rsidR="00672395" w:rsidRPr="007C5B7D">
        <w:t xml:space="preserve"> made by </w:t>
      </w:r>
      <w:r w:rsidR="00672395" w:rsidRPr="007C5B7D">
        <w:rPr>
          <w:i/>
        </w:rPr>
        <w:t>(identify moving party</w:t>
      </w:r>
      <w:r w:rsidR="00672395">
        <w:rPr>
          <w:i/>
        </w:rPr>
        <w:t xml:space="preserve">) </w:t>
      </w:r>
      <w:r w:rsidR="00672395" w:rsidRPr="003A6BF6">
        <w:rPr>
          <w:iCs/>
        </w:rPr>
        <w:t>on</w:t>
      </w:r>
      <w:r w:rsidR="00672395">
        <w:rPr>
          <w:i/>
        </w:rPr>
        <w:t xml:space="preserve"> (date)</w:t>
      </w:r>
    </w:p>
    <w:p w14:paraId="0FBFFE95" w14:textId="7F701718" w:rsidR="00672395" w:rsidRDefault="00672395" w:rsidP="00FE20D3">
      <w:pPr>
        <w:pStyle w:val="NormalBody"/>
        <w:rPr>
          <w:i/>
        </w:rPr>
      </w:pPr>
      <w:r>
        <w:rPr>
          <w:lang w:val="en-CA"/>
        </w:rPr>
        <w:tab/>
      </w:r>
      <w:r w:rsidR="00E358EA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58EA">
        <w:rPr>
          <w:lang w:val="en-CA"/>
        </w:rPr>
        <w:instrText xml:space="preserve"> FORMCHECKBOX </w:instrText>
      </w:r>
      <w:r w:rsidR="006C0D16">
        <w:rPr>
          <w:lang w:val="en-CA"/>
        </w:rPr>
      </w:r>
      <w:r w:rsidR="006C0D16">
        <w:rPr>
          <w:lang w:val="en-CA"/>
        </w:rPr>
        <w:fldChar w:fldCharType="separate"/>
      </w:r>
      <w:r w:rsidR="00E358EA">
        <w:rPr>
          <w:lang w:val="en-CA"/>
        </w:rPr>
        <w:fldChar w:fldCharType="end"/>
      </w:r>
      <w:r w:rsidRPr="008B2870">
        <w:t xml:space="preserve"> </w:t>
      </w:r>
      <w:r w:rsidRPr="008B2870">
        <w:rPr>
          <w:lang w:val="en-CA"/>
        </w:rPr>
        <w:t xml:space="preserve"> </w:t>
      </w:r>
      <w:r>
        <w:rPr>
          <w:lang w:val="en-CA"/>
        </w:rPr>
        <w:t xml:space="preserve">THE </w:t>
      </w:r>
      <w:r w:rsidR="00711599">
        <w:t>APPLICATION</w:t>
      </w:r>
      <w:r>
        <w:t xml:space="preserve"> FOR A VEXATIOUS LITIGANT ORDER</w:t>
      </w:r>
      <w:r w:rsidRPr="003A6BF6">
        <w:t xml:space="preserve"> made by</w:t>
      </w:r>
      <w:r>
        <w:rPr>
          <w:i/>
        </w:rPr>
        <w:t xml:space="preserve"> </w:t>
      </w:r>
      <w:r w:rsidR="00BF1C60">
        <w:rPr>
          <w:i/>
        </w:rPr>
        <w:t xml:space="preserve">(identify </w:t>
      </w:r>
      <w:r>
        <w:rPr>
          <w:i/>
        </w:rPr>
        <w:t>applicant</w:t>
      </w:r>
      <w:r w:rsidR="00BF1C60">
        <w:rPr>
          <w:i/>
        </w:rPr>
        <w:t>)</w:t>
      </w:r>
      <w:r w:rsidRPr="003A6BF6">
        <w:t xml:space="preserve"> on </w:t>
      </w:r>
      <w:r>
        <w:rPr>
          <w:i/>
        </w:rPr>
        <w:t>(date)</w:t>
      </w:r>
    </w:p>
    <w:p w14:paraId="5396413E" w14:textId="60D595A8" w:rsidR="00672395" w:rsidRDefault="00672395" w:rsidP="00FE20D3">
      <w:pPr>
        <w:pStyle w:val="NormalBody"/>
      </w:pPr>
      <w:r>
        <w:rPr>
          <w:lang w:val="en-CA"/>
        </w:rPr>
        <w:tab/>
      </w:r>
      <w:r w:rsidR="00E358EA">
        <w:rPr>
          <w:lang w:val="en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358EA">
        <w:rPr>
          <w:lang w:val="en-CA"/>
        </w:rPr>
        <w:instrText xml:space="preserve"> FORMCHECKBOX </w:instrText>
      </w:r>
      <w:r w:rsidR="006C0D16">
        <w:rPr>
          <w:lang w:val="en-CA"/>
        </w:rPr>
      </w:r>
      <w:r w:rsidR="006C0D16">
        <w:rPr>
          <w:lang w:val="en-CA"/>
        </w:rPr>
        <w:fldChar w:fldCharType="separate"/>
      </w:r>
      <w:r w:rsidR="00E358EA">
        <w:rPr>
          <w:lang w:val="en-CA"/>
        </w:rPr>
        <w:fldChar w:fldCharType="end"/>
      </w:r>
      <w:r w:rsidRPr="008B2870">
        <w:t xml:space="preserve"> </w:t>
      </w:r>
      <w:r w:rsidRPr="008B2870">
        <w:rPr>
          <w:lang w:val="en-CA"/>
        </w:rPr>
        <w:t xml:space="preserve"> </w:t>
      </w:r>
      <w:r>
        <w:rPr>
          <w:lang w:val="en-CA"/>
        </w:rPr>
        <w:t xml:space="preserve">THE </w:t>
      </w:r>
      <w:r>
        <w:t>PROPOSED CONSIDERATION OF A VEXATIOUS LITIGANT ORDER made</w:t>
      </w:r>
      <w:r w:rsidRPr="007C5B7D">
        <w:t xml:space="preserve"> </w:t>
      </w:r>
      <w:r>
        <w:t xml:space="preserve">on </w:t>
      </w:r>
      <w:r>
        <w:rPr>
          <w:i/>
        </w:rPr>
        <w:t>(date)</w:t>
      </w:r>
      <w:r>
        <w:t xml:space="preserve"> </w:t>
      </w:r>
    </w:p>
    <w:p w14:paraId="36EB0A63" w14:textId="77485CF2" w:rsidR="00792CDB" w:rsidRPr="007C5B7D" w:rsidRDefault="00EF2CEA" w:rsidP="00FE20D3">
      <w:pPr>
        <w:pStyle w:val="NormalBody"/>
      </w:pPr>
      <w:r>
        <w:t xml:space="preserve">against </w:t>
      </w:r>
      <w:r w:rsidRPr="00FE20D3">
        <w:rPr>
          <w:i/>
        </w:rPr>
        <w:t xml:space="preserve">(identify </w:t>
      </w:r>
      <w:r w:rsidR="00D94B58" w:rsidRPr="00FE20D3">
        <w:rPr>
          <w:i/>
        </w:rPr>
        <w:t xml:space="preserve">person who is </w:t>
      </w:r>
      <w:r w:rsidR="003B4C78" w:rsidRPr="00FE20D3">
        <w:rPr>
          <w:i/>
        </w:rPr>
        <w:t xml:space="preserve">to be </w:t>
      </w:r>
      <w:r w:rsidR="00D94B58" w:rsidRPr="00FE20D3">
        <w:rPr>
          <w:i/>
        </w:rPr>
        <w:t xml:space="preserve">the </w:t>
      </w:r>
      <w:r w:rsidRPr="00FE20D3">
        <w:rPr>
          <w:i/>
        </w:rPr>
        <w:t xml:space="preserve">subject </w:t>
      </w:r>
      <w:r w:rsidR="00471A69" w:rsidRPr="00FE20D3">
        <w:rPr>
          <w:i/>
        </w:rPr>
        <w:t xml:space="preserve">of </w:t>
      </w:r>
      <w:r w:rsidR="004E43B1" w:rsidRPr="00FE20D3">
        <w:rPr>
          <w:i/>
        </w:rPr>
        <w:t>the</w:t>
      </w:r>
      <w:r w:rsidR="00D94B58" w:rsidRPr="00FE20D3">
        <w:rPr>
          <w:i/>
        </w:rPr>
        <w:t xml:space="preserve"> </w:t>
      </w:r>
      <w:r w:rsidRPr="00FE20D3">
        <w:rPr>
          <w:i/>
        </w:rPr>
        <w:t>vexatious litigant order)</w:t>
      </w:r>
      <w:r>
        <w:t xml:space="preserve"> under subsection 140 (1) of the </w:t>
      </w:r>
      <w:r w:rsidRPr="00FE20D3">
        <w:rPr>
          <w:i/>
        </w:rPr>
        <w:t>Courts of Justice Act</w:t>
      </w:r>
      <w:r>
        <w:t xml:space="preserve"> </w:t>
      </w:r>
      <w:r w:rsidR="00BE7031" w:rsidRPr="007C5B7D">
        <w:t xml:space="preserve">was </w:t>
      </w:r>
      <w:r w:rsidR="00471A69">
        <w:t>heard</w:t>
      </w:r>
      <w:r w:rsidR="00471A69" w:rsidRPr="007C5B7D">
        <w:t xml:space="preserve"> </w:t>
      </w:r>
      <w:r w:rsidR="00BE7031" w:rsidRPr="007C5B7D">
        <w:t xml:space="preserve">this day </w:t>
      </w:r>
      <w:r w:rsidR="00BE7031" w:rsidRPr="00FE20D3">
        <w:rPr>
          <w:i/>
          <w:iCs/>
        </w:rPr>
        <w:t>(or</w:t>
      </w:r>
      <w:r w:rsidR="00BE7031" w:rsidRPr="007C5B7D">
        <w:t xml:space="preserve"> </w:t>
      </w:r>
      <w:r w:rsidR="00BE7031" w:rsidRPr="00FE20D3">
        <w:t>on</w:t>
      </w:r>
      <w:r w:rsidR="00BE7031" w:rsidRPr="00FE20D3">
        <w:rPr>
          <w:i/>
          <w:iCs/>
        </w:rPr>
        <w:t xml:space="preserve"> (date))</w:t>
      </w:r>
      <w:r w:rsidR="00BE7031" w:rsidRPr="007C5B7D">
        <w:t>,</w:t>
      </w:r>
      <w:r w:rsidR="00DB26C6" w:rsidRPr="007C5B7D">
        <w:t xml:space="preserve"> </w:t>
      </w:r>
      <w:r w:rsidR="00BE7031" w:rsidRPr="007C5B7D">
        <w:t xml:space="preserve">at </w:t>
      </w:r>
      <w:bookmarkStart w:id="1" w:name="_Hlk50492989"/>
      <w:r w:rsidR="0086509E" w:rsidRPr="00FE20D3">
        <w:rPr>
          <w:i/>
          <w:iCs/>
        </w:rPr>
        <w:t>(</w:t>
      </w:r>
      <w:r w:rsidR="00EE342E" w:rsidRPr="00FE20D3">
        <w:rPr>
          <w:i/>
          <w:iCs/>
        </w:rPr>
        <w:t>court location</w:t>
      </w:r>
      <w:r w:rsidR="0086509E" w:rsidRPr="00FE20D3">
        <w:rPr>
          <w:i/>
          <w:iCs/>
        </w:rPr>
        <w:t>)</w:t>
      </w:r>
      <w:r w:rsidR="0086509E" w:rsidRPr="007C5B7D">
        <w:t xml:space="preserve"> </w:t>
      </w:r>
      <w:r w:rsidR="00A659C6" w:rsidRPr="00FE20D3">
        <w:rPr>
          <w:i/>
          <w:iCs/>
          <w:lang w:val="en-CA"/>
        </w:rPr>
        <w:t xml:space="preserve">(or </w:t>
      </w:r>
      <w:r w:rsidR="00A659C6" w:rsidRPr="00FE20D3">
        <w:rPr>
          <w:lang w:val="en-CA"/>
        </w:rPr>
        <w:t>by telephone conference or by video conference</w:t>
      </w:r>
      <w:r w:rsidR="00AD33F7" w:rsidRPr="00FE20D3">
        <w:rPr>
          <w:lang w:val="en-CA"/>
        </w:rPr>
        <w:t xml:space="preserve"> or </w:t>
      </w:r>
      <w:r w:rsidR="001407EE" w:rsidRPr="00FE20D3">
        <w:rPr>
          <w:lang w:val="en-CA"/>
        </w:rPr>
        <w:t>in</w:t>
      </w:r>
      <w:r w:rsidR="00AD33F7" w:rsidRPr="00FE20D3">
        <w:rPr>
          <w:lang w:val="en-CA"/>
        </w:rPr>
        <w:t xml:space="preserve"> wri</w:t>
      </w:r>
      <w:r w:rsidR="00784871" w:rsidRPr="00FE20D3">
        <w:rPr>
          <w:lang w:val="en-CA"/>
        </w:rPr>
        <w:t>ting</w:t>
      </w:r>
      <w:r w:rsidR="001C34F2" w:rsidRPr="00FE20D3">
        <w:rPr>
          <w:lang w:val="en-CA"/>
        </w:rPr>
        <w:t>, without the attendance of parties or lawyers</w:t>
      </w:r>
      <w:r w:rsidR="00A659C6" w:rsidRPr="00FE20D3">
        <w:rPr>
          <w:i/>
          <w:iCs/>
          <w:lang w:val="en-CA"/>
        </w:rPr>
        <w:t>)</w:t>
      </w:r>
      <w:bookmarkEnd w:id="1"/>
      <w:r w:rsidR="00BE7031" w:rsidRPr="007C5B7D">
        <w:t>.</w:t>
      </w:r>
    </w:p>
    <w:p w14:paraId="5EBFEF53" w14:textId="327BE943" w:rsidR="00BE7031" w:rsidRPr="007C5B7D" w:rsidRDefault="00BE7031" w:rsidP="00FE20D3">
      <w:pPr>
        <w:pStyle w:val="NormalBody"/>
      </w:pPr>
      <w:r w:rsidRPr="007C5B7D">
        <w:tab/>
      </w:r>
      <w:r w:rsidR="00870B55">
        <w:tab/>
      </w:r>
      <w:r w:rsidRPr="007C5B7D">
        <w:tab/>
        <w:t xml:space="preserve">ON READING the </w:t>
      </w:r>
      <w:r w:rsidRPr="00FE20D3">
        <w:rPr>
          <w:i/>
          <w:iCs/>
        </w:rPr>
        <w:t>(give particulars of the material filed</w:t>
      </w:r>
      <w:r w:rsidR="007507D2" w:rsidRPr="00FE20D3">
        <w:rPr>
          <w:i/>
          <w:iCs/>
        </w:rPr>
        <w:t xml:space="preserve"> on the order</w:t>
      </w:r>
      <w:r w:rsidR="00ED2391" w:rsidRPr="00FE20D3">
        <w:rPr>
          <w:i/>
          <w:iCs/>
        </w:rPr>
        <w:t xml:space="preserve"> to hold a hearing</w:t>
      </w:r>
      <w:r w:rsidRPr="00FE20D3">
        <w:rPr>
          <w:i/>
          <w:iCs/>
        </w:rPr>
        <w:t>)</w:t>
      </w:r>
      <w:r w:rsidRPr="007C5B7D">
        <w:t xml:space="preserve"> </w:t>
      </w:r>
      <w:r w:rsidR="001C0B69" w:rsidRPr="00FE20D3">
        <w:rPr>
          <w:i/>
        </w:rPr>
        <w:t>(</w:t>
      </w:r>
      <w:r w:rsidR="00CD3591" w:rsidRPr="00FE20D3">
        <w:rPr>
          <w:i/>
        </w:rPr>
        <w:t>where applicable</w:t>
      </w:r>
      <w:r w:rsidR="00E36CBD" w:rsidRPr="00FE20D3">
        <w:rPr>
          <w:i/>
        </w:rPr>
        <w:t>,</w:t>
      </w:r>
      <w:r w:rsidRPr="007C5B7D">
        <w:t xml:space="preserve"> </w:t>
      </w:r>
      <w:r w:rsidR="00FF210A">
        <w:t xml:space="preserve">and </w:t>
      </w:r>
      <w:r w:rsidRPr="007C5B7D">
        <w:t>on hearing</w:t>
      </w:r>
      <w:r w:rsidR="009948A2">
        <w:t xml:space="preserve"> </w:t>
      </w:r>
      <w:r w:rsidRPr="007C5B7D">
        <w:t xml:space="preserve">the submissions of the lawyer(s) for </w:t>
      </w:r>
      <w:r w:rsidRPr="00FE20D3">
        <w:rPr>
          <w:i/>
          <w:iCs/>
        </w:rPr>
        <w:t>(identify part</w:t>
      </w:r>
      <w:r w:rsidR="0061005E" w:rsidRPr="00FE20D3">
        <w:rPr>
          <w:i/>
          <w:iCs/>
        </w:rPr>
        <w:t>y</w:t>
      </w:r>
      <w:r w:rsidRPr="00FE20D3">
        <w:rPr>
          <w:i/>
          <w:iCs/>
        </w:rPr>
        <w:t>)</w:t>
      </w:r>
      <w:r w:rsidRPr="007C5B7D">
        <w:t xml:space="preserve">, </w:t>
      </w:r>
      <w:r w:rsidRPr="00FE20D3">
        <w:rPr>
          <w:i/>
          <w:iCs/>
        </w:rPr>
        <w:t>(where applicable, add</w:t>
      </w:r>
      <w:r w:rsidRPr="007C5B7D">
        <w:t xml:space="preserve"> </w:t>
      </w:r>
      <w:r w:rsidRPr="00FE20D3">
        <w:rPr>
          <w:i/>
          <w:iCs/>
        </w:rPr>
        <w:t>(identify party</w:t>
      </w:r>
      <w:r w:rsidR="00ED2391" w:rsidRPr="00FE20D3">
        <w:rPr>
          <w:i/>
          <w:iCs/>
        </w:rPr>
        <w:t>)</w:t>
      </w:r>
      <w:r w:rsidRPr="007C5B7D">
        <w:t xml:space="preserve"> </w:t>
      </w:r>
      <w:r w:rsidR="0086509E" w:rsidRPr="007C5B7D">
        <w:t xml:space="preserve">in attendance </w:t>
      </w:r>
      <w:r w:rsidRPr="00FE20D3">
        <w:rPr>
          <w:i/>
          <w:iCs/>
        </w:rPr>
        <w:t>or</w:t>
      </w:r>
      <w:r w:rsidRPr="007C5B7D">
        <w:t xml:space="preserve"> no one </w:t>
      </w:r>
      <w:r w:rsidR="0086509E" w:rsidRPr="007C5B7D">
        <w:t xml:space="preserve">in attendance </w:t>
      </w:r>
      <w:r w:rsidRPr="007C5B7D">
        <w:t xml:space="preserve">for </w:t>
      </w:r>
      <w:r w:rsidRPr="00FE20D3">
        <w:rPr>
          <w:i/>
          <w:iCs/>
        </w:rPr>
        <w:t>(identify party</w:t>
      </w:r>
      <w:r w:rsidR="003319AD" w:rsidRPr="00FE20D3">
        <w:rPr>
          <w:i/>
          <w:iCs/>
        </w:rPr>
        <w:t>)</w:t>
      </w:r>
      <w:r w:rsidRPr="007C5B7D">
        <w:t xml:space="preserve">, although properly served </w:t>
      </w:r>
      <w:r w:rsidR="006C0D16">
        <w:rPr>
          <w:i/>
          <w:iCs/>
        </w:rPr>
        <w:t>(or</w:t>
      </w:r>
      <w:r w:rsidR="006C0D16">
        <w:t xml:space="preserve"> sent the notice</w:t>
      </w:r>
      <w:r w:rsidR="006C0D16">
        <w:rPr>
          <w:i/>
          <w:iCs/>
        </w:rPr>
        <w:t>)</w:t>
      </w:r>
      <w:r w:rsidR="006C0D16">
        <w:rPr>
          <w:i/>
          <w:iCs/>
        </w:rPr>
        <w:t xml:space="preserve"> </w:t>
      </w:r>
      <w:r w:rsidRPr="007C5B7D">
        <w:t xml:space="preserve">as appears from </w:t>
      </w:r>
      <w:r w:rsidRPr="00FE20D3">
        <w:rPr>
          <w:i/>
          <w:iCs/>
        </w:rPr>
        <w:t>(indicate proof of service</w:t>
      </w:r>
      <w:r w:rsidR="006C0D16" w:rsidRPr="006C0D16">
        <w:rPr>
          <w:i/>
        </w:rPr>
        <w:t xml:space="preserve"> </w:t>
      </w:r>
      <w:r w:rsidR="006C0D16">
        <w:rPr>
          <w:i/>
        </w:rPr>
        <w:t>or record of recipients, as applicable</w:t>
      </w:r>
      <w:r w:rsidRPr="00FE20D3">
        <w:rPr>
          <w:i/>
          <w:iCs/>
        </w:rPr>
        <w:t>))</w:t>
      </w:r>
      <w:r w:rsidRPr="006B3755">
        <w:t>,</w:t>
      </w:r>
    </w:p>
    <w:p w14:paraId="13863C19" w14:textId="31B30A37" w:rsidR="004F0C17" w:rsidRDefault="00BE7031" w:rsidP="00FE20D3">
      <w:pPr>
        <w:pStyle w:val="NormalBody"/>
      </w:pPr>
      <w:r w:rsidRPr="007C5B7D">
        <w:t>1.</w:t>
      </w:r>
      <w:r w:rsidRPr="007C5B7D">
        <w:tab/>
      </w:r>
      <w:r w:rsidRPr="007C5B7D">
        <w:tab/>
        <w:t xml:space="preserve">THIS COURT </w:t>
      </w:r>
      <w:r w:rsidR="00106664">
        <w:t>DECLARES</w:t>
      </w:r>
      <w:r w:rsidR="00106664" w:rsidRPr="007C5B7D">
        <w:t xml:space="preserve"> </w:t>
      </w:r>
      <w:r w:rsidRPr="007C5B7D">
        <w:t>that</w:t>
      </w:r>
      <w:r w:rsidR="00942617">
        <w:t xml:space="preserve"> </w:t>
      </w:r>
      <w:r w:rsidR="00DE2499" w:rsidRPr="00FE20D3">
        <w:rPr>
          <w:i/>
          <w:iCs/>
        </w:rPr>
        <w:t>(identify</w:t>
      </w:r>
      <w:r w:rsidR="00D94B58" w:rsidRPr="00FE20D3">
        <w:rPr>
          <w:i/>
          <w:iCs/>
        </w:rPr>
        <w:t xml:space="preserve"> person who is </w:t>
      </w:r>
      <w:r w:rsidR="003B4C78" w:rsidRPr="00FE20D3">
        <w:rPr>
          <w:i/>
          <w:iCs/>
        </w:rPr>
        <w:t xml:space="preserve">to be </w:t>
      </w:r>
      <w:r w:rsidR="00D94B58" w:rsidRPr="00FE20D3">
        <w:rPr>
          <w:i/>
          <w:iCs/>
        </w:rPr>
        <w:t>the</w:t>
      </w:r>
      <w:r w:rsidR="00DE2499" w:rsidRPr="00FE20D3">
        <w:rPr>
          <w:i/>
          <w:iCs/>
        </w:rPr>
        <w:t xml:space="preserve"> subject </w:t>
      </w:r>
      <w:r w:rsidR="009F0A9A" w:rsidRPr="00FE20D3">
        <w:rPr>
          <w:i/>
          <w:iCs/>
        </w:rPr>
        <w:t>of</w:t>
      </w:r>
      <w:r w:rsidR="00D94B58" w:rsidRPr="00FE20D3">
        <w:rPr>
          <w:i/>
          <w:iCs/>
        </w:rPr>
        <w:t xml:space="preserve"> the</w:t>
      </w:r>
      <w:r w:rsidR="00DE2499" w:rsidRPr="00FE20D3">
        <w:rPr>
          <w:i/>
          <w:iCs/>
        </w:rPr>
        <w:t xml:space="preserve"> vexatious litigant order)</w:t>
      </w:r>
      <w:r w:rsidR="004F0C17" w:rsidRPr="003B4C78">
        <w:t>:</w:t>
      </w:r>
    </w:p>
    <w:p w14:paraId="5C92B20A" w14:textId="33EF5934" w:rsidR="00106664" w:rsidRDefault="004F0C17" w:rsidP="00FE20D3">
      <w:pPr>
        <w:pStyle w:val="NormalBody"/>
        <w:rPr>
          <w:i/>
          <w:iCs/>
        </w:rPr>
      </w:pPr>
      <w:r w:rsidRPr="00E87848">
        <w:t>a.</w:t>
      </w:r>
      <w:r w:rsidR="00DE2499">
        <w:t xml:space="preserve"> </w:t>
      </w:r>
      <w:r w:rsidR="00AC3471">
        <w:t>ha</w:t>
      </w:r>
      <w:r w:rsidR="00DE2499">
        <w:t>s</w:t>
      </w:r>
      <w:r w:rsidR="00AC3471">
        <w:t xml:space="preserve"> persistently and without reasonable grounds instituted vexatious court proceedings</w:t>
      </w:r>
      <w:r w:rsidR="007D6198">
        <w:t xml:space="preserve"> </w:t>
      </w:r>
      <w:r w:rsidR="007D6198">
        <w:rPr>
          <w:i/>
          <w:iCs/>
        </w:rPr>
        <w:t>(</w:t>
      </w:r>
      <w:r w:rsidR="008A776C" w:rsidRPr="00EF4D36">
        <w:t>and</w:t>
      </w:r>
      <w:r w:rsidR="00EF4D36">
        <w:t xml:space="preserve"> </w:t>
      </w:r>
      <w:r w:rsidR="00EF4D36">
        <w:rPr>
          <w:i/>
          <w:iCs/>
        </w:rPr>
        <w:t>(or</w:t>
      </w:r>
      <w:r w:rsidR="00EF4D36">
        <w:t xml:space="preserve"> or</w:t>
      </w:r>
      <w:r w:rsidR="00EF4D36">
        <w:rPr>
          <w:i/>
          <w:iCs/>
        </w:rPr>
        <w:t>)</w:t>
      </w:r>
      <w:r w:rsidR="00AC3471">
        <w:t xml:space="preserve"> has conducted court proceedings </w:t>
      </w:r>
      <w:r w:rsidR="00F613C3">
        <w:t>in a vexatious manner</w:t>
      </w:r>
      <w:r w:rsidR="006D4DD1" w:rsidRPr="003B4C78">
        <w:rPr>
          <w:i/>
          <w:iCs/>
        </w:rPr>
        <w:t>)</w:t>
      </w:r>
      <w:r w:rsidR="00F613C3">
        <w:t xml:space="preserve"> within the meaning of subsection 140 (1) of the </w:t>
      </w:r>
      <w:r w:rsidR="00F613C3" w:rsidRPr="00E87848">
        <w:rPr>
          <w:i/>
          <w:iCs/>
        </w:rPr>
        <w:t>Courts of Justice Act</w:t>
      </w:r>
      <w:r w:rsidR="0037524C" w:rsidRPr="00E87848">
        <w:t>; and</w:t>
      </w:r>
    </w:p>
    <w:p w14:paraId="044D3F03" w14:textId="320BDE53" w:rsidR="00BE7031" w:rsidRDefault="0037524C" w:rsidP="00FE20D3">
      <w:pPr>
        <w:pStyle w:val="NormalBody"/>
      </w:pPr>
      <w:r>
        <w:t>b</w:t>
      </w:r>
      <w:r w:rsidR="0066409C" w:rsidRPr="00E87848">
        <w:t>.</w:t>
      </w:r>
      <w:r w:rsidR="009F0A9A">
        <w:t xml:space="preserve"> </w:t>
      </w:r>
      <w:r w:rsidR="0066409C" w:rsidRPr="00E87848">
        <w:tab/>
      </w:r>
      <w:r w:rsidR="00F613C3">
        <w:t>is</w:t>
      </w:r>
      <w:r w:rsidR="00DE2499">
        <w:t xml:space="preserve"> a vexatious litigant</w:t>
      </w:r>
      <w:r>
        <w:t xml:space="preserve"> pursuant to s</w:t>
      </w:r>
      <w:r w:rsidR="00FD5FAE">
        <w:t xml:space="preserve">ubsection 140 (1) of the </w:t>
      </w:r>
      <w:r w:rsidR="00FD5FAE" w:rsidRPr="00E87848">
        <w:rPr>
          <w:i/>
          <w:iCs/>
        </w:rPr>
        <w:t>Courts of Justice Act</w:t>
      </w:r>
      <w:r w:rsidR="00DE2499">
        <w:t xml:space="preserve">. </w:t>
      </w:r>
    </w:p>
    <w:p w14:paraId="5A7855C9" w14:textId="405DB00B" w:rsidR="00314C40" w:rsidRPr="00FE20D3" w:rsidRDefault="00314C40" w:rsidP="00FE20D3">
      <w:pPr>
        <w:pStyle w:val="NormalBody"/>
        <w:rPr>
          <w:i/>
          <w:iCs/>
        </w:rPr>
      </w:pPr>
      <w:r w:rsidRPr="00FE20D3">
        <w:rPr>
          <w:i/>
          <w:iCs/>
        </w:rPr>
        <w:t xml:space="preserve">(Order restricting </w:t>
      </w:r>
      <w:r w:rsidR="00BE302E" w:rsidRPr="00FE20D3">
        <w:rPr>
          <w:i/>
          <w:iCs/>
        </w:rPr>
        <w:t>ALL</w:t>
      </w:r>
      <w:r w:rsidRPr="00FE20D3">
        <w:rPr>
          <w:i/>
          <w:iCs/>
        </w:rPr>
        <w:t xml:space="preserve"> proceedings in future without leave)</w:t>
      </w:r>
    </w:p>
    <w:p w14:paraId="22B0D6E4" w14:textId="0F097AA1" w:rsidR="00764518" w:rsidRDefault="009C2D7D" w:rsidP="00FE20D3">
      <w:pPr>
        <w:pStyle w:val="NormalBody"/>
      </w:pPr>
      <w:r>
        <w:t xml:space="preserve">2.  THIS COURT ORDERS </w:t>
      </w:r>
      <w:r w:rsidR="00764518">
        <w:t>as follows:</w:t>
      </w:r>
    </w:p>
    <w:p w14:paraId="4A7E40A9" w14:textId="4CA00C98" w:rsidR="009C2D7D" w:rsidRDefault="009D1EAE" w:rsidP="00FE20D3">
      <w:pPr>
        <w:pStyle w:val="NormalBody"/>
      </w:pPr>
      <w:r>
        <w:lastRenderedPageBreak/>
        <w:t xml:space="preserve">a. </w:t>
      </w:r>
      <w:r w:rsidR="009C2D7D">
        <w:rPr>
          <w:i/>
          <w:iCs/>
        </w:rPr>
        <w:t>(</w:t>
      </w:r>
      <w:r>
        <w:rPr>
          <w:i/>
          <w:iCs/>
        </w:rPr>
        <w:t>I</w:t>
      </w:r>
      <w:r w:rsidR="009C2D7D">
        <w:rPr>
          <w:i/>
          <w:iCs/>
        </w:rPr>
        <w:t xml:space="preserve">dentify </w:t>
      </w:r>
      <w:r w:rsidR="000812E3">
        <w:rPr>
          <w:i/>
          <w:iCs/>
        </w:rPr>
        <w:t>person who is</w:t>
      </w:r>
      <w:r w:rsidR="003B4C78">
        <w:rPr>
          <w:i/>
          <w:iCs/>
        </w:rPr>
        <w:t xml:space="preserve"> to be</w:t>
      </w:r>
      <w:r w:rsidR="000812E3">
        <w:rPr>
          <w:i/>
          <w:iCs/>
        </w:rPr>
        <w:t xml:space="preserve"> the</w:t>
      </w:r>
      <w:r>
        <w:rPr>
          <w:i/>
          <w:iCs/>
        </w:rPr>
        <w:t xml:space="preserve"> </w:t>
      </w:r>
      <w:r w:rsidR="009C2D7D">
        <w:rPr>
          <w:i/>
          <w:iCs/>
        </w:rPr>
        <w:t xml:space="preserve">subject </w:t>
      </w:r>
      <w:r>
        <w:rPr>
          <w:i/>
          <w:iCs/>
        </w:rPr>
        <w:t xml:space="preserve">of </w:t>
      </w:r>
      <w:r w:rsidR="000812E3">
        <w:rPr>
          <w:i/>
          <w:iCs/>
        </w:rPr>
        <w:t xml:space="preserve">the </w:t>
      </w:r>
      <w:r w:rsidR="009C2D7D">
        <w:rPr>
          <w:i/>
          <w:iCs/>
        </w:rPr>
        <w:t>vexatious litigant order</w:t>
      </w:r>
      <w:r w:rsidR="00DD1F1F">
        <w:rPr>
          <w:i/>
          <w:iCs/>
        </w:rPr>
        <w:t>)</w:t>
      </w:r>
      <w:r w:rsidR="009C2D7D">
        <w:t xml:space="preserve"> is prohibited from </w:t>
      </w:r>
      <w:r w:rsidR="00F41383">
        <w:t>institut</w:t>
      </w:r>
      <w:r w:rsidR="009C2D7D">
        <w:t xml:space="preserve">ing </w:t>
      </w:r>
      <w:r w:rsidR="00314C40">
        <w:t xml:space="preserve">or continuing </w:t>
      </w:r>
      <w:r w:rsidR="00341930">
        <w:t xml:space="preserve">any </w:t>
      </w:r>
      <w:r w:rsidR="009C2D7D">
        <w:t>proceeding</w:t>
      </w:r>
      <w:r w:rsidR="000F072F">
        <w:t xml:space="preserve"> </w:t>
      </w:r>
      <w:r w:rsidR="009C2D7D">
        <w:t xml:space="preserve">in </w:t>
      </w:r>
      <w:r w:rsidR="00314C40">
        <w:t xml:space="preserve">any court in </w:t>
      </w:r>
      <w:r w:rsidR="009C2D7D">
        <w:t>the Province of Ontario</w:t>
      </w:r>
      <w:r w:rsidR="003B0259">
        <w:t xml:space="preserve">, except and until </w:t>
      </w:r>
      <w:r w:rsidR="00EB1E9F">
        <w:t xml:space="preserve">such time as </w:t>
      </w:r>
      <w:r w:rsidR="009C2D7D">
        <w:t xml:space="preserve">leave </w:t>
      </w:r>
      <w:r w:rsidR="003971F9">
        <w:t>is</w:t>
      </w:r>
      <w:r w:rsidR="00EB1E9F">
        <w:t xml:space="preserve"> </w:t>
      </w:r>
      <w:r w:rsidR="004D5586">
        <w:t>granted by a judge of the Superior Court of Justice</w:t>
      </w:r>
      <w:r w:rsidR="00314C40">
        <w:t xml:space="preserve">, </w:t>
      </w:r>
      <w:r w:rsidR="003B0259">
        <w:t>pursuant to subsection 140</w:t>
      </w:r>
      <w:r w:rsidR="00280379">
        <w:t xml:space="preserve"> (3)</w:t>
      </w:r>
      <w:r w:rsidR="003B0259">
        <w:t xml:space="preserve"> of the </w:t>
      </w:r>
      <w:r w:rsidR="003B0259" w:rsidRPr="00942011">
        <w:rPr>
          <w:i/>
          <w:iCs/>
        </w:rPr>
        <w:t>Courts of Justice Act</w:t>
      </w:r>
      <w:r w:rsidR="009C2D7D">
        <w:t>.</w:t>
      </w:r>
    </w:p>
    <w:p w14:paraId="3DF25C19" w14:textId="6905870D" w:rsidR="00F42B9C" w:rsidRDefault="00314C40" w:rsidP="00FE20D3">
      <w:pPr>
        <w:pStyle w:val="NormalBody"/>
      </w:pPr>
      <w:r>
        <w:t xml:space="preserve">b. </w:t>
      </w:r>
      <w:r w:rsidR="003B0259">
        <w:t xml:space="preserve">All </w:t>
      </w:r>
      <w:r w:rsidR="0096465F">
        <w:t xml:space="preserve">proceedings previously </w:t>
      </w:r>
      <w:r w:rsidR="00F21AC0">
        <w:t>institut</w:t>
      </w:r>
      <w:r w:rsidR="0096465F">
        <w:t xml:space="preserve">ed by </w:t>
      </w:r>
      <w:r w:rsidR="00AE436C">
        <w:rPr>
          <w:i/>
          <w:iCs/>
        </w:rPr>
        <w:t xml:space="preserve">(identify </w:t>
      </w:r>
      <w:r w:rsidR="000812E3">
        <w:rPr>
          <w:i/>
          <w:iCs/>
        </w:rPr>
        <w:t xml:space="preserve">person who is </w:t>
      </w:r>
      <w:r w:rsidR="007268DC">
        <w:rPr>
          <w:i/>
          <w:iCs/>
        </w:rPr>
        <w:t xml:space="preserve">to be </w:t>
      </w:r>
      <w:r w:rsidR="000812E3">
        <w:rPr>
          <w:i/>
          <w:iCs/>
        </w:rPr>
        <w:t xml:space="preserve">the </w:t>
      </w:r>
      <w:r w:rsidR="00AE436C">
        <w:rPr>
          <w:i/>
          <w:iCs/>
        </w:rPr>
        <w:t xml:space="preserve">subject </w:t>
      </w:r>
      <w:r w:rsidR="003B0259">
        <w:rPr>
          <w:i/>
          <w:iCs/>
        </w:rPr>
        <w:t>of</w:t>
      </w:r>
      <w:r w:rsidR="00502EA3">
        <w:rPr>
          <w:i/>
          <w:iCs/>
        </w:rPr>
        <w:t xml:space="preserve"> the</w:t>
      </w:r>
      <w:r w:rsidR="003B0259">
        <w:rPr>
          <w:i/>
          <w:iCs/>
        </w:rPr>
        <w:t xml:space="preserve"> </w:t>
      </w:r>
      <w:r w:rsidR="00AE436C">
        <w:rPr>
          <w:i/>
          <w:iCs/>
        </w:rPr>
        <w:t>vexatious litigant order</w:t>
      </w:r>
      <w:r w:rsidR="00CE282D">
        <w:rPr>
          <w:i/>
          <w:iCs/>
        </w:rPr>
        <w:t>)</w:t>
      </w:r>
      <w:r w:rsidR="00AE436C">
        <w:t xml:space="preserve"> </w:t>
      </w:r>
      <w:r w:rsidR="00712143">
        <w:t xml:space="preserve">in any court in the Province of Ontario that are </w:t>
      </w:r>
      <w:r w:rsidR="009D48A5">
        <w:t xml:space="preserve">not yet </w:t>
      </w:r>
      <w:r w:rsidR="001B2EAF">
        <w:t xml:space="preserve">finally </w:t>
      </w:r>
      <w:r w:rsidR="009D48A5">
        <w:t xml:space="preserve">disposed </w:t>
      </w:r>
      <w:r w:rsidR="00AE436C">
        <w:t>are hereby stayed</w:t>
      </w:r>
      <w:r w:rsidR="00872DEA">
        <w:t xml:space="preserve"> </w:t>
      </w:r>
      <w:r w:rsidR="003A42F7">
        <w:t>except and until such time</w:t>
      </w:r>
      <w:r w:rsidR="00EB1E9F">
        <w:t xml:space="preserve"> as</w:t>
      </w:r>
      <w:r w:rsidR="003A42F7">
        <w:t xml:space="preserve"> </w:t>
      </w:r>
      <w:r w:rsidR="002B5EB8">
        <w:t xml:space="preserve">leave </w:t>
      </w:r>
      <w:r w:rsidR="007B5A56">
        <w:t>is granted</w:t>
      </w:r>
      <w:r w:rsidR="002B5EB8">
        <w:t xml:space="preserve"> </w:t>
      </w:r>
      <w:r w:rsidR="004D5586">
        <w:t xml:space="preserve">by a judge of the Superior Court of Justice </w:t>
      </w:r>
      <w:r w:rsidR="002B5EB8">
        <w:t xml:space="preserve">pursuant to subsection 140 (3) of the </w:t>
      </w:r>
      <w:r w:rsidR="002B5EB8" w:rsidRPr="00942011">
        <w:rPr>
          <w:i/>
          <w:iCs/>
        </w:rPr>
        <w:t>Courts of Justice Act</w:t>
      </w:r>
      <w:r w:rsidR="002B5EB8">
        <w:t xml:space="preserve">. </w:t>
      </w:r>
    </w:p>
    <w:p w14:paraId="06490E94" w14:textId="33101470" w:rsidR="006A11F8" w:rsidRPr="00021B13" w:rsidRDefault="002908CC" w:rsidP="00FE20D3">
      <w:pPr>
        <w:pStyle w:val="NormalBody"/>
      </w:pPr>
      <w:r>
        <w:t>c</w:t>
      </w:r>
      <w:r w:rsidR="006A11F8">
        <w:t xml:space="preserve">. </w:t>
      </w:r>
      <w:r w:rsidR="006A11F8">
        <w:rPr>
          <w:i/>
          <w:iCs/>
        </w:rPr>
        <w:t>(</w:t>
      </w:r>
      <w:r w:rsidR="002B4D06">
        <w:rPr>
          <w:i/>
          <w:iCs/>
        </w:rPr>
        <w:t>I</w:t>
      </w:r>
      <w:r w:rsidR="006A11F8">
        <w:rPr>
          <w:i/>
          <w:iCs/>
        </w:rPr>
        <w:t xml:space="preserve">dentify </w:t>
      </w:r>
      <w:r w:rsidR="00502EA3">
        <w:rPr>
          <w:i/>
          <w:iCs/>
        </w:rPr>
        <w:t>person who is</w:t>
      </w:r>
      <w:r w:rsidR="00330898">
        <w:rPr>
          <w:i/>
          <w:iCs/>
        </w:rPr>
        <w:t xml:space="preserve"> to be</w:t>
      </w:r>
      <w:r w:rsidR="00502EA3">
        <w:rPr>
          <w:i/>
          <w:iCs/>
        </w:rPr>
        <w:t xml:space="preserve"> the </w:t>
      </w:r>
      <w:r w:rsidR="006A11F8">
        <w:rPr>
          <w:i/>
          <w:iCs/>
        </w:rPr>
        <w:t xml:space="preserve">subject </w:t>
      </w:r>
      <w:r w:rsidR="002B4D06">
        <w:rPr>
          <w:i/>
          <w:iCs/>
        </w:rPr>
        <w:t xml:space="preserve">of </w:t>
      </w:r>
      <w:r w:rsidR="00AB4049">
        <w:rPr>
          <w:i/>
          <w:iCs/>
        </w:rPr>
        <w:t xml:space="preserve">the </w:t>
      </w:r>
      <w:r w:rsidR="006A11F8">
        <w:rPr>
          <w:i/>
          <w:iCs/>
        </w:rPr>
        <w:t>vexatious litigant order)</w:t>
      </w:r>
      <w:r w:rsidR="006A11F8">
        <w:t xml:space="preserve"> shall deliver a copy of this Order</w:t>
      </w:r>
      <w:r w:rsidR="0015471F">
        <w:t>, and the reasons for decision,</w:t>
      </w:r>
      <w:r w:rsidR="006A11F8">
        <w:t xml:space="preserve"> to any person or body </w:t>
      </w:r>
      <w:r w:rsidR="002B4D06">
        <w:t xml:space="preserve">against </w:t>
      </w:r>
      <w:r w:rsidR="006A11F8">
        <w:t>whom</w:t>
      </w:r>
      <w:r w:rsidR="00730395">
        <w:t xml:space="preserve"> </w:t>
      </w:r>
      <w:r w:rsidR="0095667C" w:rsidRPr="003B4C78">
        <w:rPr>
          <w:i/>
          <w:iCs/>
        </w:rPr>
        <w:t>(</w:t>
      </w:r>
      <w:r w:rsidR="00E26DBC">
        <w:t>he / she / they</w:t>
      </w:r>
      <w:r w:rsidR="0095667C" w:rsidRPr="003B4C78">
        <w:rPr>
          <w:i/>
          <w:iCs/>
        </w:rPr>
        <w:t>)</w:t>
      </w:r>
      <w:r w:rsidR="00E26DBC" w:rsidRPr="003B4C78">
        <w:rPr>
          <w:i/>
          <w:iCs/>
        </w:rPr>
        <w:t xml:space="preserve"> </w:t>
      </w:r>
      <w:r w:rsidR="006A11F8">
        <w:t>in</w:t>
      </w:r>
      <w:r w:rsidR="003E2FBC">
        <w:t>stitut</w:t>
      </w:r>
      <w:r w:rsidR="006A11F8">
        <w:t>e</w:t>
      </w:r>
      <w:r w:rsidR="00E26DBC">
        <w:t>(</w:t>
      </w:r>
      <w:r w:rsidR="006A11F8">
        <w:t>s</w:t>
      </w:r>
      <w:r w:rsidR="00E26DBC">
        <w:t>)</w:t>
      </w:r>
      <w:r w:rsidR="006A11F8">
        <w:t xml:space="preserve"> or continue</w:t>
      </w:r>
      <w:r w:rsidR="00E26DBC">
        <w:t>(</w:t>
      </w:r>
      <w:r w:rsidR="006A11F8">
        <w:t>s</w:t>
      </w:r>
      <w:r w:rsidR="00E26DBC">
        <w:t>)</w:t>
      </w:r>
      <w:r w:rsidR="006A11F8">
        <w:t xml:space="preserve"> any proceeding </w:t>
      </w:r>
      <w:r w:rsidR="0015471F" w:rsidRPr="003B4C78">
        <w:rPr>
          <w:i/>
          <w:iCs/>
        </w:rPr>
        <w:t>(</w:t>
      </w:r>
      <w:r w:rsidR="0015471F" w:rsidRPr="003A6BF6">
        <w:rPr>
          <w:i/>
          <w:iCs/>
        </w:rPr>
        <w:t>insert if applicable:</w:t>
      </w:r>
      <w:r w:rsidR="0015471F">
        <w:t xml:space="preserve"> or complaint or request for investigation</w:t>
      </w:r>
      <w:r w:rsidR="0015471F" w:rsidRPr="003B4C78">
        <w:rPr>
          <w:i/>
          <w:iCs/>
        </w:rPr>
        <w:t xml:space="preserve">) </w:t>
      </w:r>
      <w:r w:rsidR="00F019F6">
        <w:t>in</w:t>
      </w:r>
      <w:r w:rsidR="0015471F">
        <w:t xml:space="preserve"> any court, administrative body and/or tribunal, regulatory body, the police and the Crown</w:t>
      </w:r>
      <w:r w:rsidR="0015471F" w:rsidRPr="00E26DBC">
        <w:t>.</w:t>
      </w:r>
    </w:p>
    <w:p w14:paraId="2183A0B6" w14:textId="41289FD1" w:rsidR="009C2D7D" w:rsidRDefault="00D576F9" w:rsidP="00FE20D3">
      <w:pPr>
        <w:pStyle w:val="NormalBody"/>
      </w:pPr>
      <w:r>
        <w:t>d</w:t>
      </w:r>
      <w:r w:rsidR="00F42B9C">
        <w:t xml:space="preserve">. </w:t>
      </w:r>
      <w:r>
        <w:t>A</w:t>
      </w:r>
      <w:r w:rsidR="00F42B9C">
        <w:t>ny proceeding</w:t>
      </w:r>
      <w:r w:rsidR="0081301A">
        <w:t xml:space="preserve"> </w:t>
      </w:r>
      <w:r w:rsidR="00F21AC0">
        <w:t>institute</w:t>
      </w:r>
      <w:r w:rsidR="00F42B9C">
        <w:t>d</w:t>
      </w:r>
      <w:r w:rsidR="00D62D93">
        <w:t xml:space="preserve"> </w:t>
      </w:r>
      <w:r w:rsidR="00F42B9C">
        <w:t xml:space="preserve">by </w:t>
      </w:r>
      <w:r w:rsidR="00F42B9C">
        <w:rPr>
          <w:i/>
          <w:iCs/>
        </w:rPr>
        <w:t xml:space="preserve">(identify </w:t>
      </w:r>
      <w:r w:rsidR="006A4031">
        <w:rPr>
          <w:i/>
          <w:iCs/>
        </w:rPr>
        <w:t xml:space="preserve">person who is </w:t>
      </w:r>
      <w:r w:rsidR="00330898">
        <w:rPr>
          <w:i/>
          <w:iCs/>
        </w:rPr>
        <w:t xml:space="preserve">to be </w:t>
      </w:r>
      <w:r w:rsidR="006A4031">
        <w:rPr>
          <w:i/>
          <w:iCs/>
        </w:rPr>
        <w:t>the</w:t>
      </w:r>
      <w:r w:rsidR="005426F3">
        <w:rPr>
          <w:i/>
          <w:iCs/>
        </w:rPr>
        <w:t xml:space="preserve"> </w:t>
      </w:r>
      <w:r w:rsidR="00F42B9C">
        <w:rPr>
          <w:i/>
          <w:iCs/>
        </w:rPr>
        <w:t xml:space="preserve">subject </w:t>
      </w:r>
      <w:r w:rsidR="005426F3">
        <w:rPr>
          <w:i/>
          <w:iCs/>
        </w:rPr>
        <w:t>of</w:t>
      </w:r>
      <w:r w:rsidR="006A4031">
        <w:rPr>
          <w:i/>
          <w:iCs/>
        </w:rPr>
        <w:t xml:space="preserve"> the</w:t>
      </w:r>
      <w:r w:rsidR="005426F3">
        <w:rPr>
          <w:i/>
          <w:iCs/>
        </w:rPr>
        <w:t xml:space="preserve"> </w:t>
      </w:r>
      <w:r w:rsidR="00F42B9C">
        <w:rPr>
          <w:i/>
          <w:iCs/>
        </w:rPr>
        <w:t>vexatious litigant order</w:t>
      </w:r>
      <w:r w:rsidR="00CE282D">
        <w:rPr>
          <w:i/>
          <w:iCs/>
        </w:rPr>
        <w:t>)</w:t>
      </w:r>
      <w:r w:rsidR="00F42B9C">
        <w:t xml:space="preserve"> </w:t>
      </w:r>
      <w:r w:rsidR="00D62D93">
        <w:t xml:space="preserve">without leave of a </w:t>
      </w:r>
      <w:r w:rsidR="006F5CB4">
        <w:t>j</w:t>
      </w:r>
      <w:r w:rsidR="00D62D93">
        <w:t xml:space="preserve">udge of the Superior Court of Justice </w:t>
      </w:r>
      <w:r w:rsidR="00560FCC">
        <w:t xml:space="preserve">and in </w:t>
      </w:r>
      <w:r w:rsidR="009C2D7D">
        <w:t xml:space="preserve">violation of this order shall be </w:t>
      </w:r>
      <w:proofErr w:type="gramStart"/>
      <w:r w:rsidR="009C2D7D">
        <w:t xml:space="preserve">a nullity </w:t>
      </w:r>
      <w:r w:rsidR="009C2D7D">
        <w:rPr>
          <w:i/>
          <w:iCs/>
        </w:rPr>
        <w:t>ab initio</w:t>
      </w:r>
      <w:proofErr w:type="gramEnd"/>
      <w:r w:rsidR="009C2D7D">
        <w:t>.</w:t>
      </w:r>
    </w:p>
    <w:p w14:paraId="07DA62B7" w14:textId="4442D2C2" w:rsidR="00B42266" w:rsidRDefault="00B42266" w:rsidP="00FE20D3">
      <w:pPr>
        <w:pStyle w:val="NormalBody"/>
      </w:pPr>
      <w:r>
        <w:t xml:space="preserve">e. </w:t>
      </w:r>
      <w:r w:rsidR="00800149">
        <w:t>T</w:t>
      </w:r>
      <w:r>
        <w:t xml:space="preserve">his </w:t>
      </w:r>
      <w:r w:rsidR="00E26EE0">
        <w:t>O</w:t>
      </w:r>
      <w:r>
        <w:t xml:space="preserve">rder is subject to the right of appeal </w:t>
      </w:r>
      <w:r w:rsidR="00F607EC" w:rsidRPr="00A50ED9">
        <w:rPr>
          <w:i/>
          <w:iCs/>
        </w:rPr>
        <w:t>(</w:t>
      </w:r>
      <w:r w:rsidRPr="00941A26">
        <w:rPr>
          <w:i/>
          <w:iCs/>
        </w:rPr>
        <w:t>or</w:t>
      </w:r>
      <w:r w:rsidR="00F607EC">
        <w:rPr>
          <w:i/>
          <w:iCs/>
        </w:rPr>
        <w:t>, if made in the Court of Appeal:</w:t>
      </w:r>
      <w:r>
        <w:t xml:space="preserve"> review</w:t>
      </w:r>
      <w:r w:rsidR="00F607EC" w:rsidRPr="00A50ED9">
        <w:rPr>
          <w:i/>
          <w:iCs/>
        </w:rPr>
        <w:t>)</w:t>
      </w:r>
      <w:r>
        <w:t xml:space="preserve"> in accordance with subsection 140 (2.3) of the </w:t>
      </w:r>
      <w:r w:rsidRPr="003A6BF6">
        <w:rPr>
          <w:i/>
          <w:iCs/>
        </w:rPr>
        <w:t>Courts of Justice Act.</w:t>
      </w:r>
      <w:r>
        <w:t xml:space="preserve"> </w:t>
      </w:r>
    </w:p>
    <w:p w14:paraId="5C990402" w14:textId="061AE7B4" w:rsidR="00BE302E" w:rsidRPr="00FE20D3" w:rsidRDefault="00BE302E" w:rsidP="00FE20D3">
      <w:pPr>
        <w:pStyle w:val="NormalBody"/>
        <w:rPr>
          <w:i/>
          <w:iCs/>
        </w:rPr>
      </w:pPr>
      <w:r w:rsidRPr="00FE20D3">
        <w:rPr>
          <w:i/>
          <w:iCs/>
        </w:rPr>
        <w:t>(Order restricting CERTAIN proceedings in future without leave)</w:t>
      </w:r>
    </w:p>
    <w:p w14:paraId="32368B21" w14:textId="77777777" w:rsidR="00BE302E" w:rsidRDefault="00BE302E" w:rsidP="00FE20D3">
      <w:pPr>
        <w:pStyle w:val="NormalBody"/>
      </w:pPr>
      <w:r>
        <w:t>2.  THIS COURT ORDERS as follows:</w:t>
      </w:r>
    </w:p>
    <w:p w14:paraId="28B90418" w14:textId="6F1B09C6" w:rsidR="007A2B36" w:rsidRDefault="00BE302E" w:rsidP="00FE20D3">
      <w:pPr>
        <w:pStyle w:val="NormalBody"/>
      </w:pPr>
      <w:r>
        <w:t xml:space="preserve">a. </w:t>
      </w:r>
      <w:r>
        <w:rPr>
          <w:i/>
          <w:iCs/>
        </w:rPr>
        <w:t>(Identify</w:t>
      </w:r>
      <w:r w:rsidR="006A4031">
        <w:rPr>
          <w:i/>
          <w:iCs/>
        </w:rPr>
        <w:t xml:space="preserve"> person who is</w:t>
      </w:r>
      <w:r w:rsidR="00A50ED9">
        <w:rPr>
          <w:i/>
          <w:iCs/>
        </w:rPr>
        <w:t xml:space="preserve"> to be</w:t>
      </w:r>
      <w:r w:rsidR="006A4031">
        <w:rPr>
          <w:i/>
          <w:iCs/>
        </w:rPr>
        <w:t xml:space="preserve"> the </w:t>
      </w:r>
      <w:r>
        <w:rPr>
          <w:i/>
          <w:iCs/>
        </w:rPr>
        <w:t>subject of</w:t>
      </w:r>
      <w:r w:rsidR="006A4031">
        <w:rPr>
          <w:i/>
          <w:iCs/>
        </w:rPr>
        <w:t xml:space="preserve"> the</w:t>
      </w:r>
      <w:r>
        <w:rPr>
          <w:i/>
          <w:iCs/>
        </w:rPr>
        <w:t xml:space="preserve"> vexatious litigant order</w:t>
      </w:r>
      <w:r w:rsidR="00CE282D">
        <w:rPr>
          <w:i/>
          <w:iCs/>
        </w:rPr>
        <w:t>)</w:t>
      </w:r>
      <w:r>
        <w:t xml:space="preserve"> is prohibited from instituting or continuing any proceeding in any court in the Province of Ontario</w:t>
      </w:r>
      <w:r w:rsidR="003D3914">
        <w:t>,</w:t>
      </w:r>
    </w:p>
    <w:p w14:paraId="6FFCD4AC" w14:textId="460FDAE5" w:rsidR="003D3914" w:rsidRPr="00FE20D3" w:rsidRDefault="003D3914" w:rsidP="00FE20D3">
      <w:pPr>
        <w:pStyle w:val="NormalBody"/>
        <w:rPr>
          <w:i/>
          <w:iCs/>
        </w:rPr>
      </w:pPr>
      <w:r w:rsidRPr="00FE20D3">
        <w:rPr>
          <w:i/>
          <w:iCs/>
        </w:rPr>
        <w:t>(Select all that apply and complete)</w:t>
      </w:r>
    </w:p>
    <w:p w14:paraId="01073F7D" w14:textId="680AE68A" w:rsidR="007A2B36" w:rsidRDefault="007A2B36" w:rsidP="00FE20D3">
      <w:pPr>
        <w:pStyle w:val="NormalBody"/>
        <w:ind w:left="270"/>
      </w:pPr>
      <w:r>
        <w:t xml:space="preserve">i. against </w:t>
      </w:r>
      <w:r w:rsidRPr="00FE20D3">
        <w:rPr>
          <w:i/>
          <w:iCs/>
        </w:rPr>
        <w:t>(identify opposing parties against whom proceedings may not be instituted or continued)</w:t>
      </w:r>
    </w:p>
    <w:p w14:paraId="2A7A1566" w14:textId="5459BD5A" w:rsidR="007A2B36" w:rsidRDefault="007A2B36" w:rsidP="00FE20D3">
      <w:pPr>
        <w:pStyle w:val="NormalBody"/>
        <w:ind w:left="270"/>
      </w:pPr>
      <w:r>
        <w:t>and/or</w:t>
      </w:r>
    </w:p>
    <w:p w14:paraId="04F12C05" w14:textId="71C07F53" w:rsidR="007A2B36" w:rsidRDefault="007A2B36" w:rsidP="00FE20D3">
      <w:pPr>
        <w:pStyle w:val="NormalBody"/>
        <w:ind w:left="270"/>
      </w:pPr>
      <w:r>
        <w:t xml:space="preserve">ii. </w:t>
      </w:r>
      <w:r w:rsidR="003D3914">
        <w:t xml:space="preserve">concerning </w:t>
      </w:r>
      <w:r w:rsidR="003D3914" w:rsidRPr="00FE20D3">
        <w:rPr>
          <w:i/>
          <w:iCs/>
        </w:rPr>
        <w:t>(identify subject matter in respect of which proceedings may not be instituted or continued)</w:t>
      </w:r>
      <w:r w:rsidR="006078A5" w:rsidRPr="008D0D4E">
        <w:t>,</w:t>
      </w:r>
    </w:p>
    <w:p w14:paraId="71842EA7" w14:textId="082A6A5B" w:rsidR="00BE302E" w:rsidRDefault="00BE302E" w:rsidP="00FE20D3">
      <w:pPr>
        <w:pStyle w:val="NormalBody"/>
      </w:pPr>
      <w:r>
        <w:t xml:space="preserve">except and until </w:t>
      </w:r>
      <w:r w:rsidR="003352B1">
        <w:t xml:space="preserve">such time as </w:t>
      </w:r>
      <w:r>
        <w:t xml:space="preserve">leave </w:t>
      </w:r>
      <w:r w:rsidR="003352B1">
        <w:t>is</w:t>
      </w:r>
      <w:r w:rsidR="008F6479">
        <w:t xml:space="preserve"> granted by </w:t>
      </w:r>
      <w:r>
        <w:t xml:space="preserve">a judge of the Superior Court of Justice, pursuant to subsection 140 (3) of the </w:t>
      </w:r>
      <w:r w:rsidRPr="003A6BF6">
        <w:rPr>
          <w:i/>
          <w:iCs/>
        </w:rPr>
        <w:t>Courts of Justice Act</w:t>
      </w:r>
      <w:r>
        <w:t>.</w:t>
      </w:r>
    </w:p>
    <w:p w14:paraId="76FEA950" w14:textId="5E3EC859" w:rsidR="00BE302E" w:rsidRDefault="00BE302E" w:rsidP="00FE20D3">
      <w:pPr>
        <w:pStyle w:val="NormalBody"/>
      </w:pPr>
      <w:r>
        <w:t xml:space="preserve">b. All proceedings </w:t>
      </w:r>
      <w:r w:rsidR="00095A6A">
        <w:t xml:space="preserve">against the parties </w:t>
      </w:r>
      <w:r w:rsidR="00095A6A" w:rsidRPr="00D40D3E">
        <w:rPr>
          <w:i/>
          <w:iCs/>
        </w:rPr>
        <w:t>and/or</w:t>
      </w:r>
      <w:r w:rsidR="00095A6A">
        <w:t xml:space="preserve"> concerning the subject matter identified in </w:t>
      </w:r>
      <w:r w:rsidR="00991A8F">
        <w:t xml:space="preserve">clause </w:t>
      </w:r>
      <w:r w:rsidR="00095A6A">
        <w:t xml:space="preserve">(a) that were </w:t>
      </w:r>
      <w:r>
        <w:t xml:space="preserve">previously instituted by </w:t>
      </w:r>
      <w:r>
        <w:rPr>
          <w:i/>
          <w:iCs/>
        </w:rPr>
        <w:t xml:space="preserve">(identify </w:t>
      </w:r>
      <w:r w:rsidR="00835D53">
        <w:rPr>
          <w:i/>
          <w:iCs/>
        </w:rPr>
        <w:t>person who is</w:t>
      </w:r>
      <w:r w:rsidR="00221A52">
        <w:rPr>
          <w:i/>
          <w:iCs/>
        </w:rPr>
        <w:t xml:space="preserve"> to be</w:t>
      </w:r>
      <w:r w:rsidR="00835D53">
        <w:rPr>
          <w:i/>
          <w:iCs/>
        </w:rPr>
        <w:t xml:space="preserve"> the</w:t>
      </w:r>
      <w:r>
        <w:rPr>
          <w:i/>
          <w:iCs/>
        </w:rPr>
        <w:t xml:space="preserve"> subject of </w:t>
      </w:r>
      <w:r w:rsidR="00835D53">
        <w:rPr>
          <w:i/>
          <w:iCs/>
        </w:rPr>
        <w:t xml:space="preserve">the </w:t>
      </w:r>
      <w:r>
        <w:rPr>
          <w:i/>
          <w:iCs/>
        </w:rPr>
        <w:t>vexatious litigant order</w:t>
      </w:r>
      <w:r w:rsidR="00CE282D">
        <w:rPr>
          <w:i/>
          <w:iCs/>
        </w:rPr>
        <w:t>)</w:t>
      </w:r>
      <w:r>
        <w:t xml:space="preserve"> in any court in the Province of Ontario </w:t>
      </w:r>
      <w:r w:rsidR="00CB08B0">
        <w:t xml:space="preserve">and </w:t>
      </w:r>
      <w:r>
        <w:t xml:space="preserve">that are not yet finally disposed are hereby stayed except and until such time as leave </w:t>
      </w:r>
      <w:r w:rsidR="003352B1">
        <w:t xml:space="preserve">is granted </w:t>
      </w:r>
      <w:r>
        <w:t>by a judge of the Superior Court of Justice</w:t>
      </w:r>
      <w:r w:rsidR="003971F9">
        <w:t>,</w:t>
      </w:r>
      <w:r w:rsidR="002E05A6">
        <w:t xml:space="preserve"> </w:t>
      </w:r>
      <w:r>
        <w:t xml:space="preserve">pursuant to subsection 140 (3) of the </w:t>
      </w:r>
      <w:r w:rsidRPr="003A6BF6">
        <w:rPr>
          <w:i/>
          <w:iCs/>
        </w:rPr>
        <w:t>Courts of Justice Act</w:t>
      </w:r>
      <w:r>
        <w:t>.</w:t>
      </w:r>
    </w:p>
    <w:p w14:paraId="22B24A97" w14:textId="05115BA9" w:rsidR="00BE302E" w:rsidRPr="00021B13" w:rsidRDefault="00BE302E" w:rsidP="00FE20D3">
      <w:pPr>
        <w:pStyle w:val="NormalBody"/>
      </w:pPr>
      <w:r>
        <w:lastRenderedPageBreak/>
        <w:t xml:space="preserve">c. </w:t>
      </w:r>
      <w:r w:rsidR="00812D85" w:rsidRPr="00FE20D3">
        <w:rPr>
          <w:i/>
          <w:iCs/>
        </w:rPr>
        <w:t xml:space="preserve">(If applicable, based on </w:t>
      </w:r>
      <w:r w:rsidR="004C1F5B" w:rsidRPr="00FE20D3">
        <w:rPr>
          <w:i/>
          <w:iCs/>
        </w:rPr>
        <w:t>limitations</w:t>
      </w:r>
      <w:r w:rsidR="00812D85" w:rsidRPr="00FE20D3">
        <w:rPr>
          <w:i/>
          <w:iCs/>
        </w:rPr>
        <w:t xml:space="preserve"> of the order under clause (a)</w:t>
      </w:r>
      <w:r w:rsidR="004C1F5B" w:rsidRPr="00FE20D3">
        <w:rPr>
          <w:i/>
          <w:iCs/>
        </w:rPr>
        <w:t xml:space="preserve">) </w:t>
      </w:r>
      <w:r w:rsidRPr="00FE20D3">
        <w:rPr>
          <w:i/>
          <w:iCs/>
        </w:rPr>
        <w:t xml:space="preserve">(Identify </w:t>
      </w:r>
      <w:r w:rsidR="00835D53" w:rsidRPr="00FE20D3">
        <w:rPr>
          <w:i/>
          <w:iCs/>
        </w:rPr>
        <w:t>person who is</w:t>
      </w:r>
      <w:r w:rsidR="003971F9" w:rsidRPr="00FE20D3">
        <w:rPr>
          <w:i/>
          <w:iCs/>
        </w:rPr>
        <w:t xml:space="preserve"> to be</w:t>
      </w:r>
      <w:r w:rsidR="00835D53" w:rsidRPr="00FE20D3">
        <w:rPr>
          <w:i/>
          <w:iCs/>
        </w:rPr>
        <w:t xml:space="preserve"> the </w:t>
      </w:r>
      <w:r w:rsidRPr="00FE20D3">
        <w:rPr>
          <w:i/>
          <w:iCs/>
        </w:rPr>
        <w:t xml:space="preserve">subject of </w:t>
      </w:r>
      <w:r w:rsidR="00835D53" w:rsidRPr="00FE20D3">
        <w:rPr>
          <w:i/>
          <w:iCs/>
        </w:rPr>
        <w:t xml:space="preserve">the </w:t>
      </w:r>
      <w:r w:rsidRPr="00FE20D3">
        <w:rPr>
          <w:i/>
          <w:iCs/>
        </w:rPr>
        <w:t>vexatious litigant order)</w:t>
      </w:r>
      <w:r>
        <w:t xml:space="preserve"> shall deliver a copy of this Order</w:t>
      </w:r>
      <w:r w:rsidR="00BA1BA4">
        <w:t>, and the reasons for decision,</w:t>
      </w:r>
      <w:r>
        <w:t xml:space="preserve"> to any person or body against whom </w:t>
      </w:r>
      <w:r w:rsidR="007203AB" w:rsidRPr="00FE20D3">
        <w:rPr>
          <w:i/>
          <w:iCs/>
        </w:rPr>
        <w:t>(</w:t>
      </w:r>
      <w:r>
        <w:t>he / she / they</w:t>
      </w:r>
      <w:r w:rsidR="007203AB" w:rsidRPr="00FE20D3">
        <w:rPr>
          <w:i/>
          <w:iCs/>
        </w:rPr>
        <w:t>)</w:t>
      </w:r>
      <w:r w:rsidRPr="00FE20D3">
        <w:rPr>
          <w:i/>
          <w:iCs/>
        </w:rPr>
        <w:t xml:space="preserve"> </w:t>
      </w:r>
      <w:r>
        <w:t xml:space="preserve">institute(s) or continue(s) any proceeding </w:t>
      </w:r>
      <w:r w:rsidR="00AD2BC0" w:rsidRPr="00FE20D3">
        <w:rPr>
          <w:i/>
          <w:iCs/>
        </w:rPr>
        <w:t>(insert if applicable:</w:t>
      </w:r>
      <w:r w:rsidR="00AD2BC0">
        <w:t xml:space="preserve"> or complaint or request for investigation</w:t>
      </w:r>
      <w:r w:rsidR="00AD2BC0" w:rsidRPr="00FE20D3">
        <w:rPr>
          <w:i/>
          <w:iCs/>
        </w:rPr>
        <w:t>)</w:t>
      </w:r>
      <w:r w:rsidR="00AD2BC0">
        <w:t xml:space="preserve">, </w:t>
      </w:r>
      <w:r w:rsidR="00F019F6">
        <w:t>in</w:t>
      </w:r>
      <w:r w:rsidR="00AD2BC0">
        <w:t xml:space="preserve"> any court, administrative body and/or tribunal, regulatory body, the police and the Crown</w:t>
      </w:r>
      <w:r w:rsidRPr="00E26DBC">
        <w:t>.</w:t>
      </w:r>
      <w:r w:rsidRPr="009240AE">
        <w:t xml:space="preserve"> </w:t>
      </w:r>
    </w:p>
    <w:p w14:paraId="2CE44551" w14:textId="2AACA63F" w:rsidR="00BE302E" w:rsidRDefault="00BE302E" w:rsidP="00787433">
      <w:pPr>
        <w:pStyle w:val="NormalBody"/>
      </w:pPr>
      <w:r>
        <w:t xml:space="preserve">d. Any proceeding </w:t>
      </w:r>
      <w:r w:rsidR="004620A4">
        <w:t xml:space="preserve">against the parties </w:t>
      </w:r>
      <w:r w:rsidR="004620A4" w:rsidRPr="00D40D3E">
        <w:rPr>
          <w:i/>
          <w:iCs/>
        </w:rPr>
        <w:t>and/or</w:t>
      </w:r>
      <w:r w:rsidR="004620A4">
        <w:t xml:space="preserve"> concerning the subject matter identified in clause (a) </w:t>
      </w:r>
      <w:r>
        <w:t xml:space="preserve">instituted by </w:t>
      </w:r>
      <w:r>
        <w:rPr>
          <w:i/>
          <w:iCs/>
        </w:rPr>
        <w:t>(identify</w:t>
      </w:r>
      <w:r w:rsidR="00914D6D">
        <w:rPr>
          <w:i/>
          <w:iCs/>
        </w:rPr>
        <w:t xml:space="preserve"> person who </w:t>
      </w:r>
      <w:r w:rsidR="009A0139">
        <w:rPr>
          <w:i/>
          <w:iCs/>
        </w:rPr>
        <w:t xml:space="preserve">to be </w:t>
      </w:r>
      <w:r w:rsidR="00914D6D">
        <w:rPr>
          <w:i/>
          <w:iCs/>
        </w:rPr>
        <w:t>is the</w:t>
      </w:r>
      <w:r>
        <w:rPr>
          <w:i/>
          <w:iCs/>
        </w:rPr>
        <w:t xml:space="preserve"> subject of</w:t>
      </w:r>
      <w:r w:rsidR="00914D6D">
        <w:rPr>
          <w:i/>
          <w:iCs/>
        </w:rPr>
        <w:t xml:space="preserve"> the</w:t>
      </w:r>
      <w:r>
        <w:rPr>
          <w:i/>
          <w:iCs/>
        </w:rPr>
        <w:t xml:space="preserve"> vexatious litigant order</w:t>
      </w:r>
      <w:r w:rsidR="00F82810">
        <w:rPr>
          <w:i/>
          <w:iCs/>
        </w:rPr>
        <w:t>)</w:t>
      </w:r>
      <w:r>
        <w:t xml:space="preserve"> </w:t>
      </w:r>
      <w:r w:rsidR="004620A4">
        <w:t xml:space="preserve">on or after the date of this </w:t>
      </w:r>
      <w:r w:rsidR="00547F13">
        <w:t>O</w:t>
      </w:r>
      <w:r w:rsidR="004620A4">
        <w:t xml:space="preserve">rder </w:t>
      </w:r>
      <w:r>
        <w:t xml:space="preserve">without leave of a judge of the Superior Court of Justice and in violation of this </w:t>
      </w:r>
      <w:r w:rsidR="00547F13">
        <w:t>O</w:t>
      </w:r>
      <w:r>
        <w:t xml:space="preserve">rder shall be </w:t>
      </w:r>
      <w:proofErr w:type="gramStart"/>
      <w:r>
        <w:t xml:space="preserve">a nullity </w:t>
      </w:r>
      <w:r>
        <w:rPr>
          <w:i/>
          <w:iCs/>
        </w:rPr>
        <w:t>ab initio</w:t>
      </w:r>
      <w:proofErr w:type="gramEnd"/>
      <w:r>
        <w:t>.</w:t>
      </w:r>
    </w:p>
    <w:p w14:paraId="4C4412AF" w14:textId="46A65691" w:rsidR="00BE302E" w:rsidRDefault="00BE302E" w:rsidP="00787433">
      <w:pPr>
        <w:pStyle w:val="NormalBody"/>
      </w:pPr>
      <w:r>
        <w:t xml:space="preserve">e. </w:t>
      </w:r>
      <w:r w:rsidR="00F019F6">
        <w:t>T</w:t>
      </w:r>
      <w:r>
        <w:t xml:space="preserve">his Order is subject to the right of appeal </w:t>
      </w:r>
      <w:r w:rsidRPr="00800149">
        <w:rPr>
          <w:i/>
          <w:iCs/>
        </w:rPr>
        <w:t>(</w:t>
      </w:r>
      <w:r w:rsidRPr="003A6BF6">
        <w:rPr>
          <w:i/>
          <w:iCs/>
        </w:rPr>
        <w:t>or</w:t>
      </w:r>
      <w:r>
        <w:rPr>
          <w:i/>
          <w:iCs/>
        </w:rPr>
        <w:t>, if made in the Court of Appeal:</w:t>
      </w:r>
      <w:r>
        <w:t xml:space="preserve"> </w:t>
      </w:r>
      <w:r w:rsidR="00F019F6">
        <w:t xml:space="preserve">right of </w:t>
      </w:r>
      <w:r>
        <w:t>review</w:t>
      </w:r>
      <w:r w:rsidRPr="00800149">
        <w:rPr>
          <w:i/>
          <w:iCs/>
        </w:rPr>
        <w:t>)</w:t>
      </w:r>
      <w:r>
        <w:t xml:space="preserve"> </w:t>
      </w:r>
      <w:r w:rsidR="00F019F6">
        <w:t xml:space="preserve">provided in </w:t>
      </w:r>
      <w:r>
        <w:t xml:space="preserve">subsection 140 (2.3) of the </w:t>
      </w:r>
      <w:r w:rsidRPr="003A6BF6">
        <w:rPr>
          <w:i/>
          <w:iCs/>
        </w:rPr>
        <w:t>Courts of Justice Act.</w:t>
      </w:r>
    </w:p>
    <w:p w14:paraId="366B7EAF" w14:textId="2AF8D4DE" w:rsidR="00BB7F52" w:rsidRPr="00787433" w:rsidRDefault="00F019F6" w:rsidP="00787433">
      <w:pPr>
        <w:pStyle w:val="NormalBody"/>
        <w:rPr>
          <w:i/>
          <w:iCs/>
        </w:rPr>
      </w:pPr>
      <w:r w:rsidRPr="00787433">
        <w:rPr>
          <w:i/>
          <w:iCs/>
        </w:rPr>
        <w:t>(Order for costs)</w:t>
      </w:r>
    </w:p>
    <w:p w14:paraId="69BDDA64" w14:textId="246FCA7E" w:rsidR="006E1F8D" w:rsidRDefault="00BB7F52" w:rsidP="00787433">
      <w:pPr>
        <w:pStyle w:val="NormalBody"/>
      </w:pPr>
      <w:r>
        <w:t>3</w:t>
      </w:r>
      <w:r w:rsidR="009C2D7D">
        <w:t xml:space="preserve">. THIS COURT FURTHER ORDERS </w:t>
      </w:r>
      <w:r w:rsidR="006E1F8D">
        <w:t>as follows:</w:t>
      </w:r>
    </w:p>
    <w:p w14:paraId="4CD07D59" w14:textId="6835B7E3" w:rsidR="009C2D7D" w:rsidRDefault="006E1F8D" w:rsidP="00787433">
      <w:pPr>
        <w:pStyle w:val="NormalBody"/>
      </w:pPr>
      <w:r>
        <w:t>a.</w:t>
      </w:r>
      <w:r w:rsidR="009C2D7D">
        <w:t xml:space="preserve"> </w:t>
      </w:r>
      <w:r w:rsidR="009C2D7D" w:rsidRPr="00787433">
        <w:rPr>
          <w:i/>
          <w:iCs/>
        </w:rPr>
        <w:t>(</w:t>
      </w:r>
      <w:r w:rsidR="009F0A9A" w:rsidRPr="00787433">
        <w:rPr>
          <w:i/>
          <w:iCs/>
        </w:rPr>
        <w:t>I</w:t>
      </w:r>
      <w:r w:rsidR="009C2D7D" w:rsidRPr="00787433">
        <w:rPr>
          <w:i/>
          <w:iCs/>
        </w:rPr>
        <w:t>dentify</w:t>
      </w:r>
      <w:r w:rsidR="00914D6D" w:rsidRPr="00787433">
        <w:rPr>
          <w:i/>
          <w:iCs/>
        </w:rPr>
        <w:t xml:space="preserve"> person who is the </w:t>
      </w:r>
      <w:r w:rsidR="009C2D7D" w:rsidRPr="00787433">
        <w:rPr>
          <w:i/>
          <w:iCs/>
        </w:rPr>
        <w:t xml:space="preserve">subject </w:t>
      </w:r>
      <w:r w:rsidRPr="00787433">
        <w:rPr>
          <w:i/>
          <w:iCs/>
        </w:rPr>
        <w:t xml:space="preserve">of </w:t>
      </w:r>
      <w:r w:rsidR="00EF11AD" w:rsidRPr="00787433">
        <w:rPr>
          <w:i/>
          <w:iCs/>
        </w:rPr>
        <w:t>the</w:t>
      </w:r>
      <w:r w:rsidR="009C2D7D" w:rsidRPr="00787433">
        <w:rPr>
          <w:i/>
          <w:iCs/>
        </w:rPr>
        <w:t xml:space="preserve"> vexatious litigant</w:t>
      </w:r>
      <w:r w:rsidR="00914D6D" w:rsidRPr="00787433">
        <w:rPr>
          <w:i/>
          <w:iCs/>
        </w:rPr>
        <w:t xml:space="preserve"> order</w:t>
      </w:r>
      <w:r w:rsidR="009C2D7D" w:rsidRPr="00787433">
        <w:rPr>
          <w:i/>
          <w:iCs/>
        </w:rPr>
        <w:t>)</w:t>
      </w:r>
      <w:r w:rsidR="006C42E4">
        <w:t xml:space="preserve"> shall pay costs to </w:t>
      </w:r>
      <w:r w:rsidR="006C42E4" w:rsidRPr="00787433">
        <w:rPr>
          <w:i/>
          <w:iCs/>
        </w:rPr>
        <w:t>(identify party)</w:t>
      </w:r>
      <w:r w:rsidR="006C42E4">
        <w:t xml:space="preserve"> in the amount of </w:t>
      </w:r>
      <w:r w:rsidR="00C34208" w:rsidRPr="00787433">
        <w:rPr>
          <w:i/>
          <w:iCs/>
        </w:rPr>
        <w:t>(specify amount)</w:t>
      </w:r>
      <w:r w:rsidR="00C34208">
        <w:t xml:space="preserve">, payable </w:t>
      </w:r>
      <w:r w:rsidR="004F1F42">
        <w:t xml:space="preserve">immediately </w:t>
      </w:r>
      <w:r w:rsidR="004F1F42" w:rsidRPr="00787433">
        <w:rPr>
          <w:i/>
          <w:iCs/>
        </w:rPr>
        <w:t>(or:</w:t>
      </w:r>
      <w:r w:rsidR="004F1F42" w:rsidRPr="009925E5">
        <w:t xml:space="preserve"> </w:t>
      </w:r>
      <w:r w:rsidR="00C34208">
        <w:t xml:space="preserve">within </w:t>
      </w:r>
      <w:r w:rsidR="00C34208" w:rsidRPr="00787433">
        <w:rPr>
          <w:i/>
          <w:iCs/>
        </w:rPr>
        <w:t>(number of days)</w:t>
      </w:r>
      <w:r w:rsidR="00E26EE0" w:rsidRPr="00787433">
        <w:rPr>
          <w:i/>
          <w:iCs/>
        </w:rPr>
        <w:t>)</w:t>
      </w:r>
      <w:r w:rsidR="00C34208">
        <w:t xml:space="preserve"> days </w:t>
      </w:r>
      <w:r w:rsidR="00E26EE0">
        <w:t xml:space="preserve">following </w:t>
      </w:r>
      <w:r w:rsidR="00C34208">
        <w:t>the date of this Order.</w:t>
      </w:r>
    </w:p>
    <w:p w14:paraId="2B25FF9F" w14:textId="76316A12" w:rsidR="008C0DD6" w:rsidRDefault="006E1F8D" w:rsidP="00787433">
      <w:pPr>
        <w:pStyle w:val="NormalBody"/>
      </w:pPr>
      <w:r>
        <w:t>b</w:t>
      </w:r>
      <w:r w:rsidR="008C0DD6">
        <w:t xml:space="preserve">.  </w:t>
      </w:r>
      <w:r w:rsidR="00E93557">
        <w:t xml:space="preserve">This Order bears </w:t>
      </w:r>
      <w:proofErr w:type="spellStart"/>
      <w:r w:rsidR="008C0DD6">
        <w:t>postjudgment</w:t>
      </w:r>
      <w:proofErr w:type="spellEnd"/>
      <w:r w:rsidR="008C0DD6">
        <w:t xml:space="preserve"> interest in accordance with section 129 of the </w:t>
      </w:r>
      <w:r w:rsidR="008C0DD6" w:rsidRPr="009925E5">
        <w:rPr>
          <w:i/>
          <w:iCs/>
        </w:rPr>
        <w:t>Courts of Justice Act</w:t>
      </w:r>
      <w:r w:rsidR="008C0DD6">
        <w:t xml:space="preserve">. </w:t>
      </w:r>
    </w:p>
    <w:p w14:paraId="2374F940" w14:textId="7533BF9D" w:rsidR="00547F13" w:rsidRPr="00787433" w:rsidRDefault="00EC3EC0" w:rsidP="00787433">
      <w:pPr>
        <w:pStyle w:val="NormalBody"/>
        <w:rPr>
          <w:i/>
          <w:iCs/>
        </w:rPr>
      </w:pPr>
      <w:r w:rsidRPr="00787433">
        <w:rPr>
          <w:i/>
          <w:iCs/>
        </w:rPr>
        <w:t>(Other terms as appropriate)</w:t>
      </w:r>
    </w:p>
    <w:p w14:paraId="4ADD294E" w14:textId="0E280BF5" w:rsidR="00EC3EC0" w:rsidRDefault="00EC3EC0" w:rsidP="00787433">
      <w:pPr>
        <w:pStyle w:val="NormalBody"/>
      </w:pPr>
      <w:r w:rsidRPr="009925E5">
        <w:t xml:space="preserve">4. </w:t>
      </w:r>
      <w:r w:rsidR="00AF05E3" w:rsidRPr="00AF05E3">
        <w:t>T</w:t>
      </w:r>
      <w:r w:rsidR="00AF05E3" w:rsidRPr="003B3458">
        <w:t xml:space="preserve">HIS COURT </w:t>
      </w:r>
      <w:r w:rsidR="00AF05E3">
        <w:t xml:space="preserve">FURTHER </w:t>
      </w:r>
      <w:r w:rsidR="00AF05E3" w:rsidRPr="003B3458">
        <w:t xml:space="preserve">ORDERS </w:t>
      </w:r>
      <w:r w:rsidR="00AF05E3" w:rsidRPr="003B3458">
        <w:rPr>
          <w:i/>
        </w:rPr>
        <w:t xml:space="preserve">(or </w:t>
      </w:r>
      <w:r w:rsidR="00AF05E3" w:rsidRPr="00800149">
        <w:rPr>
          <w:iCs/>
        </w:rPr>
        <w:t>DECLARES</w:t>
      </w:r>
      <w:r w:rsidR="00AF05E3">
        <w:rPr>
          <w:i/>
        </w:rPr>
        <w:t xml:space="preserve">, or </w:t>
      </w:r>
      <w:r w:rsidR="00AF05E3" w:rsidRPr="003B3458">
        <w:rPr>
          <w:i/>
        </w:rPr>
        <w:t>as may be)</w:t>
      </w:r>
      <w:r w:rsidR="00AF05E3" w:rsidRPr="003B3458">
        <w:t xml:space="preserve"> that</w:t>
      </w:r>
      <w:r w:rsidR="00AF05E3">
        <w:t xml:space="preserve"> …………….</w:t>
      </w:r>
    </w:p>
    <w:p w14:paraId="72883B43" w14:textId="64996C12" w:rsidR="00C64DCB" w:rsidRPr="00787433" w:rsidRDefault="006C0D16" w:rsidP="00787433">
      <w:pPr>
        <w:pStyle w:val="NormalBody"/>
        <w:rPr>
          <w:i/>
          <w:iCs/>
        </w:rPr>
      </w:pPr>
      <w:r>
        <w:rPr>
          <w:i/>
          <w:iCs/>
        </w:rPr>
        <w:t>(Aliases and controlled entities)</w:t>
      </w:r>
    </w:p>
    <w:p w14:paraId="48B33B8C" w14:textId="69A926A3" w:rsidR="00C80663" w:rsidRPr="00D20212" w:rsidRDefault="00800149" w:rsidP="00787433">
      <w:pPr>
        <w:pStyle w:val="NormalBody"/>
      </w:pPr>
      <w:r>
        <w:t xml:space="preserve">5. </w:t>
      </w:r>
      <w:r w:rsidR="00AF7494" w:rsidRPr="00D40D3E">
        <w:rPr>
          <w:i/>
          <w:iCs/>
        </w:rPr>
        <w:t xml:space="preserve">(If applicable) </w:t>
      </w:r>
      <w:r>
        <w:t>IN THIS ORDER, a reference</w:t>
      </w:r>
      <w:r w:rsidR="00C80663">
        <w:t xml:space="preserve"> to </w:t>
      </w:r>
      <w:r w:rsidR="00C80663">
        <w:rPr>
          <w:i/>
          <w:iCs/>
        </w:rPr>
        <w:t>(identify</w:t>
      </w:r>
      <w:r w:rsidR="00914D6D">
        <w:rPr>
          <w:i/>
          <w:iCs/>
        </w:rPr>
        <w:t xml:space="preserve"> person who is </w:t>
      </w:r>
      <w:r>
        <w:rPr>
          <w:i/>
          <w:iCs/>
        </w:rPr>
        <w:t xml:space="preserve">to be </w:t>
      </w:r>
      <w:r w:rsidR="00914D6D">
        <w:rPr>
          <w:i/>
          <w:iCs/>
        </w:rPr>
        <w:t>the</w:t>
      </w:r>
      <w:r w:rsidR="00C80663">
        <w:rPr>
          <w:i/>
          <w:iCs/>
        </w:rPr>
        <w:t xml:space="preserve"> subject of </w:t>
      </w:r>
      <w:r w:rsidR="00914D6D">
        <w:rPr>
          <w:i/>
          <w:iCs/>
        </w:rPr>
        <w:t xml:space="preserve">the </w:t>
      </w:r>
      <w:r w:rsidR="00C80663">
        <w:rPr>
          <w:i/>
          <w:iCs/>
        </w:rPr>
        <w:t>vexatious litigant order)</w:t>
      </w:r>
      <w:r w:rsidR="00F851E7">
        <w:t xml:space="preserve"> </w:t>
      </w:r>
      <w:r>
        <w:t>shall be deemed to include a reference</w:t>
      </w:r>
      <w:r w:rsidR="00F851E7">
        <w:t xml:space="preserve"> </w:t>
      </w:r>
      <w:r w:rsidR="0060077D">
        <w:t xml:space="preserve">to </w:t>
      </w:r>
      <w:r w:rsidR="00AA6A7D" w:rsidRPr="00D40D3E">
        <w:rPr>
          <w:i/>
          <w:iCs/>
        </w:rPr>
        <w:t xml:space="preserve">(insert </w:t>
      </w:r>
      <w:r w:rsidR="00AA6A7D">
        <w:rPr>
          <w:i/>
          <w:iCs/>
        </w:rPr>
        <w:t xml:space="preserve">all </w:t>
      </w:r>
      <w:r w:rsidR="00AA6A7D" w:rsidRPr="00D40D3E">
        <w:rPr>
          <w:i/>
          <w:iCs/>
        </w:rPr>
        <w:t>known</w:t>
      </w:r>
      <w:r w:rsidR="00AA6A7D">
        <w:rPr>
          <w:i/>
          <w:iCs/>
        </w:rPr>
        <w:t xml:space="preserve"> </w:t>
      </w:r>
      <w:r w:rsidR="00AA6A7D" w:rsidRPr="00D40D3E">
        <w:rPr>
          <w:i/>
          <w:iCs/>
        </w:rPr>
        <w:t>aliases)</w:t>
      </w:r>
      <w:r w:rsidR="00AF7494">
        <w:t xml:space="preserve"> and</w:t>
      </w:r>
      <w:r w:rsidR="00AA6A7D">
        <w:t xml:space="preserve"> to </w:t>
      </w:r>
      <w:r w:rsidR="0060077D">
        <w:t xml:space="preserve">any </w:t>
      </w:r>
      <w:r w:rsidR="00AF7494">
        <w:t xml:space="preserve">other </w:t>
      </w:r>
      <w:r w:rsidR="0060077D">
        <w:t xml:space="preserve">alias or proxy used by </w:t>
      </w:r>
      <w:r w:rsidR="0060077D">
        <w:rPr>
          <w:i/>
          <w:iCs/>
        </w:rPr>
        <w:t>(</w:t>
      </w:r>
      <w:r w:rsidR="0060077D">
        <w:t>him</w:t>
      </w:r>
      <w:r w:rsidR="001C3908">
        <w:t xml:space="preserve"> </w:t>
      </w:r>
      <w:r w:rsidR="0060077D">
        <w:t>/</w:t>
      </w:r>
      <w:r w:rsidR="00347DDC">
        <w:t xml:space="preserve"> </w:t>
      </w:r>
      <w:r w:rsidR="0060077D">
        <w:t>her</w:t>
      </w:r>
      <w:r w:rsidR="001C3908">
        <w:t xml:space="preserve"> </w:t>
      </w:r>
      <w:r w:rsidR="0060077D">
        <w:t>/</w:t>
      </w:r>
      <w:r w:rsidR="00347DDC">
        <w:t xml:space="preserve"> </w:t>
      </w:r>
      <w:r w:rsidR="0060077D">
        <w:t>them</w:t>
      </w:r>
      <w:r w:rsidR="0060077D">
        <w:rPr>
          <w:i/>
          <w:iCs/>
        </w:rPr>
        <w:t>)</w:t>
      </w:r>
      <w:r w:rsidR="0060077D">
        <w:t xml:space="preserve">, </w:t>
      </w:r>
      <w:r w:rsidR="0060077D">
        <w:rPr>
          <w:i/>
          <w:iCs/>
        </w:rPr>
        <w:t>(if applicable</w:t>
      </w:r>
      <w:r w:rsidR="001A3D79">
        <w:rPr>
          <w:i/>
          <w:iCs/>
        </w:rPr>
        <w:t>:</w:t>
      </w:r>
      <w:r w:rsidR="0060077D">
        <w:rPr>
          <w:i/>
          <w:iCs/>
        </w:rPr>
        <w:t xml:space="preserve"> </w:t>
      </w:r>
      <w:r w:rsidR="0060077D">
        <w:t xml:space="preserve">and </w:t>
      </w:r>
      <w:r w:rsidR="00AF7494">
        <w:t xml:space="preserve">to </w:t>
      </w:r>
      <w:r w:rsidR="0060077D">
        <w:t xml:space="preserve">any corporations or other entities owned or controlled by </w:t>
      </w:r>
      <w:r w:rsidR="00347DDC">
        <w:rPr>
          <w:i/>
          <w:iCs/>
        </w:rPr>
        <w:t>(</w:t>
      </w:r>
      <w:r w:rsidR="00347DDC" w:rsidRPr="00800149">
        <w:t>him</w:t>
      </w:r>
      <w:r w:rsidR="001C3908">
        <w:t xml:space="preserve"> </w:t>
      </w:r>
      <w:r w:rsidR="00347DDC" w:rsidRPr="00800149">
        <w:t>/</w:t>
      </w:r>
      <w:r w:rsidR="00347DDC">
        <w:t xml:space="preserve"> </w:t>
      </w:r>
      <w:r w:rsidR="00347DDC" w:rsidRPr="00800149">
        <w:t>her</w:t>
      </w:r>
      <w:r w:rsidR="001C3908">
        <w:t xml:space="preserve"> </w:t>
      </w:r>
      <w:r w:rsidR="00347DDC" w:rsidRPr="00800149">
        <w:t>/</w:t>
      </w:r>
      <w:r w:rsidR="00347DDC">
        <w:t xml:space="preserve"> </w:t>
      </w:r>
      <w:r w:rsidR="00347DDC" w:rsidRPr="00800149">
        <w:t>them</w:t>
      </w:r>
      <w:r w:rsidR="00347DDC">
        <w:rPr>
          <w:i/>
          <w:iCs/>
        </w:rPr>
        <w:t>)</w:t>
      </w:r>
      <w:r w:rsidR="0060077D">
        <w:t>, either past, present or in the future</w:t>
      </w:r>
      <w:r w:rsidR="00D20212">
        <w:rPr>
          <w:i/>
          <w:iCs/>
        </w:rPr>
        <w:t>)</w:t>
      </w:r>
      <w:r w:rsidR="00D20212">
        <w:t>.</w:t>
      </w:r>
    </w:p>
    <w:p w14:paraId="2277133C" w14:textId="0C36E783" w:rsidR="00BE7031" w:rsidRPr="007C5B7D" w:rsidRDefault="00BE7031" w:rsidP="00EA06F8">
      <w:pPr>
        <w:pStyle w:val="zparawtab-e"/>
        <w:tabs>
          <w:tab w:val="right" w:leader="dot" w:pos="9360"/>
        </w:tabs>
        <w:spacing w:after="319" w:line="240" w:lineRule="auto"/>
        <w:rPr>
          <w:sz w:val="24"/>
          <w:szCs w:val="24"/>
        </w:rPr>
      </w:pPr>
    </w:p>
    <w:tbl>
      <w:tblPr>
        <w:tblW w:w="10530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46"/>
        <w:gridCol w:w="5184"/>
      </w:tblGrid>
      <w:tr w:rsidR="00E45A89" w:rsidRPr="007C5B7D" w14:paraId="56F57755" w14:textId="77777777" w:rsidTr="00D83AC6">
        <w:tc>
          <w:tcPr>
            <w:tcW w:w="5346" w:type="dxa"/>
          </w:tcPr>
          <w:p w14:paraId="3DCCE074" w14:textId="0316A988" w:rsidR="00E45A89" w:rsidRPr="007C5B7D" w:rsidRDefault="00E45A89" w:rsidP="00787433">
            <w:pPr>
              <w:pStyle w:val="NormalBody"/>
              <w:spacing w:after="0"/>
            </w:pPr>
            <w:bookmarkStart w:id="2" w:name="_Hlk155087560"/>
            <w:r w:rsidRPr="007C5B7D">
              <w:t>Date of issuance ………………………………</w:t>
            </w:r>
            <w:r w:rsidR="00284AC7">
              <w:t>.</w:t>
            </w:r>
            <w:r w:rsidRPr="007C5B7D">
              <w:t>…</w:t>
            </w:r>
          </w:p>
        </w:tc>
        <w:tc>
          <w:tcPr>
            <w:tcW w:w="5184" w:type="dxa"/>
            <w:tcBorders>
              <w:bottom w:val="single" w:sz="4" w:space="0" w:color="auto"/>
            </w:tcBorders>
          </w:tcPr>
          <w:p w14:paraId="77CB8D37" w14:textId="77777777" w:rsidR="00E45A89" w:rsidRPr="007C5B7D" w:rsidRDefault="00E45A89" w:rsidP="00D83AC6">
            <w:pPr>
              <w:pStyle w:val="table-e"/>
              <w:tabs>
                <w:tab w:val="left" w:pos="717"/>
              </w:tabs>
              <w:spacing w:line="24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E45A89" w:rsidRPr="007C5B7D" w14:paraId="32B151D1" w14:textId="77777777" w:rsidTr="00D83AC6">
        <w:tc>
          <w:tcPr>
            <w:tcW w:w="5346" w:type="dxa"/>
          </w:tcPr>
          <w:p w14:paraId="21EFD791" w14:textId="77777777" w:rsidR="00E45A89" w:rsidRPr="00787433" w:rsidRDefault="00E45A89" w:rsidP="00787433">
            <w:pPr>
              <w:pStyle w:val="NormalBody"/>
              <w:ind w:left="1774"/>
              <w:rPr>
                <w:i/>
                <w:iCs/>
              </w:rPr>
            </w:pPr>
            <w:r w:rsidRPr="00787433">
              <w:rPr>
                <w:i/>
                <w:iCs/>
              </w:rPr>
              <w:t>(</w:t>
            </w:r>
            <w:proofErr w:type="gramStart"/>
            <w:r w:rsidRPr="00787433">
              <w:rPr>
                <w:i/>
                <w:iCs/>
              </w:rPr>
              <w:t>to</w:t>
            </w:r>
            <w:proofErr w:type="gramEnd"/>
            <w:r w:rsidRPr="00787433">
              <w:rPr>
                <w:i/>
                <w:iCs/>
              </w:rPr>
              <w:t xml:space="preserve"> be completed by registrar)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14:paraId="092D876F" w14:textId="77777777" w:rsidR="00E45A89" w:rsidRPr="00787433" w:rsidRDefault="00E45A89" w:rsidP="00787433">
            <w:pPr>
              <w:pStyle w:val="NormalBody"/>
              <w:jc w:val="center"/>
              <w:rPr>
                <w:i/>
                <w:iCs/>
              </w:rPr>
            </w:pPr>
            <w:r w:rsidRPr="00787433">
              <w:rPr>
                <w:i/>
                <w:iCs/>
              </w:rPr>
              <w:t xml:space="preserve">(Signature of judge, </w:t>
            </w:r>
            <w:proofErr w:type="gramStart"/>
            <w:r w:rsidRPr="00787433">
              <w:rPr>
                <w:i/>
                <w:iCs/>
              </w:rPr>
              <w:t>officer</w:t>
            </w:r>
            <w:proofErr w:type="gramEnd"/>
            <w:r w:rsidRPr="00787433">
              <w:rPr>
                <w:i/>
                <w:iCs/>
              </w:rPr>
              <w:t xml:space="preserve"> or registrar)</w:t>
            </w:r>
          </w:p>
        </w:tc>
      </w:tr>
      <w:bookmarkEnd w:id="2"/>
    </w:tbl>
    <w:p w14:paraId="280E0B1B" w14:textId="77777777" w:rsidR="00E45A89" w:rsidRPr="007C5B7D" w:rsidRDefault="00E45A89" w:rsidP="00EA06F8">
      <w:pPr>
        <w:pStyle w:val="zparawtab-e"/>
        <w:tabs>
          <w:tab w:val="left" w:leader="dot" w:pos="6552"/>
        </w:tabs>
        <w:spacing w:after="319" w:line="240" w:lineRule="auto"/>
        <w:rPr>
          <w:sz w:val="24"/>
          <w:szCs w:val="24"/>
          <w:lang w:val="en-CA"/>
        </w:rPr>
      </w:pPr>
    </w:p>
    <w:p w14:paraId="1208FBAE" w14:textId="3740A441" w:rsidR="00BE7031" w:rsidRPr="000F6996" w:rsidRDefault="00BE7031">
      <w:pPr>
        <w:pStyle w:val="footnote-e"/>
        <w:rPr>
          <w:sz w:val="24"/>
          <w:szCs w:val="24"/>
        </w:rPr>
      </w:pPr>
      <w:r w:rsidRPr="007C5B7D">
        <w:rPr>
          <w:sz w:val="24"/>
          <w:szCs w:val="24"/>
        </w:rPr>
        <w:t xml:space="preserve">RCP-E </w:t>
      </w:r>
      <w:r w:rsidR="008247D3">
        <w:rPr>
          <w:sz w:val="24"/>
          <w:szCs w:val="24"/>
        </w:rPr>
        <w:t>2.2G</w:t>
      </w:r>
      <w:r w:rsidRPr="007C5B7D">
        <w:rPr>
          <w:sz w:val="24"/>
          <w:szCs w:val="24"/>
        </w:rPr>
        <w:t xml:space="preserve"> </w:t>
      </w:r>
      <w:bookmarkStart w:id="3" w:name="_Hlk50492935"/>
      <w:r w:rsidR="00EA06F8" w:rsidRPr="00800149">
        <w:rPr>
          <w:sz w:val="24"/>
          <w:szCs w:val="24"/>
        </w:rPr>
        <w:t>(</w:t>
      </w:r>
      <w:r w:rsidR="00FD47CB" w:rsidRPr="00D40D3E">
        <w:rPr>
          <w:sz w:val="24"/>
          <w:szCs w:val="24"/>
        </w:rPr>
        <w:t>June 1</w:t>
      </w:r>
      <w:r w:rsidR="00E45A89" w:rsidRPr="00D40D3E">
        <w:rPr>
          <w:sz w:val="24"/>
          <w:szCs w:val="24"/>
        </w:rPr>
        <w:t>, 2024</w:t>
      </w:r>
      <w:r w:rsidR="00EA06F8" w:rsidRPr="00800149">
        <w:rPr>
          <w:sz w:val="24"/>
          <w:szCs w:val="24"/>
        </w:rPr>
        <w:t>)</w:t>
      </w:r>
      <w:bookmarkEnd w:id="3"/>
    </w:p>
    <w:sectPr w:rsidR="00BE7031" w:rsidRPr="000F6996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18D2" w14:textId="77777777" w:rsidR="00543DB8" w:rsidRDefault="00543DB8" w:rsidP="00EA06F8">
      <w:r>
        <w:separator/>
      </w:r>
    </w:p>
  </w:endnote>
  <w:endnote w:type="continuationSeparator" w:id="0">
    <w:p w14:paraId="527FAF6B" w14:textId="77777777" w:rsidR="00543DB8" w:rsidRDefault="00543DB8" w:rsidP="00EA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AEA60" w14:textId="77777777" w:rsidR="00543DB8" w:rsidRDefault="00543DB8" w:rsidP="00EA06F8">
      <w:r>
        <w:separator/>
      </w:r>
    </w:p>
  </w:footnote>
  <w:footnote w:type="continuationSeparator" w:id="0">
    <w:p w14:paraId="0A8CF9F5" w14:textId="77777777" w:rsidR="00543DB8" w:rsidRDefault="00543DB8" w:rsidP="00EA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AFE"/>
    <w:multiLevelType w:val="hybridMultilevel"/>
    <w:tmpl w:val="049ABFC6"/>
    <w:lvl w:ilvl="0" w:tplc="9A924038">
      <w:start w:val="2"/>
      <w:numFmt w:val="lowerLetter"/>
      <w:lvlText w:val="%1."/>
      <w:lvlJc w:val="left"/>
      <w:pPr>
        <w:ind w:left="63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9" w:hanging="360"/>
      </w:pPr>
    </w:lvl>
    <w:lvl w:ilvl="2" w:tplc="1009001B" w:tentative="1">
      <w:start w:val="1"/>
      <w:numFmt w:val="lowerRoman"/>
      <w:lvlText w:val="%3."/>
      <w:lvlJc w:val="right"/>
      <w:pPr>
        <w:ind w:left="2079" w:hanging="180"/>
      </w:pPr>
    </w:lvl>
    <w:lvl w:ilvl="3" w:tplc="1009000F" w:tentative="1">
      <w:start w:val="1"/>
      <w:numFmt w:val="decimal"/>
      <w:lvlText w:val="%4."/>
      <w:lvlJc w:val="left"/>
      <w:pPr>
        <w:ind w:left="2799" w:hanging="360"/>
      </w:pPr>
    </w:lvl>
    <w:lvl w:ilvl="4" w:tplc="10090019" w:tentative="1">
      <w:start w:val="1"/>
      <w:numFmt w:val="lowerLetter"/>
      <w:lvlText w:val="%5."/>
      <w:lvlJc w:val="left"/>
      <w:pPr>
        <w:ind w:left="3519" w:hanging="360"/>
      </w:pPr>
    </w:lvl>
    <w:lvl w:ilvl="5" w:tplc="1009001B" w:tentative="1">
      <w:start w:val="1"/>
      <w:numFmt w:val="lowerRoman"/>
      <w:lvlText w:val="%6."/>
      <w:lvlJc w:val="right"/>
      <w:pPr>
        <w:ind w:left="4239" w:hanging="180"/>
      </w:pPr>
    </w:lvl>
    <w:lvl w:ilvl="6" w:tplc="1009000F" w:tentative="1">
      <w:start w:val="1"/>
      <w:numFmt w:val="decimal"/>
      <w:lvlText w:val="%7."/>
      <w:lvlJc w:val="left"/>
      <w:pPr>
        <w:ind w:left="4959" w:hanging="360"/>
      </w:pPr>
    </w:lvl>
    <w:lvl w:ilvl="7" w:tplc="10090019" w:tentative="1">
      <w:start w:val="1"/>
      <w:numFmt w:val="lowerLetter"/>
      <w:lvlText w:val="%8."/>
      <w:lvlJc w:val="left"/>
      <w:pPr>
        <w:ind w:left="5679" w:hanging="360"/>
      </w:pPr>
    </w:lvl>
    <w:lvl w:ilvl="8" w:tplc="1009001B" w:tentative="1">
      <w:start w:val="1"/>
      <w:numFmt w:val="lowerRoman"/>
      <w:lvlText w:val="%9."/>
      <w:lvlJc w:val="right"/>
      <w:pPr>
        <w:ind w:left="6399" w:hanging="180"/>
      </w:pPr>
    </w:lvl>
  </w:abstractNum>
  <w:num w:numId="1" w16cid:durableId="2067994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6F8"/>
    <w:rsid w:val="00021B13"/>
    <w:rsid w:val="0004491E"/>
    <w:rsid w:val="000479F7"/>
    <w:rsid w:val="00077F4A"/>
    <w:rsid w:val="000801BB"/>
    <w:rsid w:val="000812E3"/>
    <w:rsid w:val="00095A6A"/>
    <w:rsid w:val="000A0E40"/>
    <w:rsid w:val="000A2EB5"/>
    <w:rsid w:val="000B4DC1"/>
    <w:rsid w:val="000B673E"/>
    <w:rsid w:val="000F072F"/>
    <w:rsid w:val="000F6996"/>
    <w:rsid w:val="00106664"/>
    <w:rsid w:val="001407EE"/>
    <w:rsid w:val="0015471F"/>
    <w:rsid w:val="00157B26"/>
    <w:rsid w:val="00163F82"/>
    <w:rsid w:val="001738B7"/>
    <w:rsid w:val="00184F69"/>
    <w:rsid w:val="001916F2"/>
    <w:rsid w:val="001A3D79"/>
    <w:rsid w:val="001B2EAF"/>
    <w:rsid w:val="001C0B69"/>
    <w:rsid w:val="001C2F17"/>
    <w:rsid w:val="001C34F2"/>
    <w:rsid w:val="001C3908"/>
    <w:rsid w:val="001C67EE"/>
    <w:rsid w:val="001E0D13"/>
    <w:rsid w:val="001E6511"/>
    <w:rsid w:val="00206597"/>
    <w:rsid w:val="00217E60"/>
    <w:rsid w:val="00221A52"/>
    <w:rsid w:val="002225CA"/>
    <w:rsid w:val="00227C17"/>
    <w:rsid w:val="00233080"/>
    <w:rsid w:val="00235C85"/>
    <w:rsid w:val="00252FB2"/>
    <w:rsid w:val="002662BB"/>
    <w:rsid w:val="00280379"/>
    <w:rsid w:val="00284AC7"/>
    <w:rsid w:val="002908CC"/>
    <w:rsid w:val="002B32DE"/>
    <w:rsid w:val="002B4D06"/>
    <w:rsid w:val="002B5EB8"/>
    <w:rsid w:val="002B747F"/>
    <w:rsid w:val="002B7960"/>
    <w:rsid w:val="002D3051"/>
    <w:rsid w:val="002D73CD"/>
    <w:rsid w:val="002E05A6"/>
    <w:rsid w:val="003075F9"/>
    <w:rsid w:val="00314C40"/>
    <w:rsid w:val="00330898"/>
    <w:rsid w:val="003319AD"/>
    <w:rsid w:val="003352B1"/>
    <w:rsid w:val="00341930"/>
    <w:rsid w:val="003434EE"/>
    <w:rsid w:val="00347409"/>
    <w:rsid w:val="00347DDC"/>
    <w:rsid w:val="0037524C"/>
    <w:rsid w:val="003971F9"/>
    <w:rsid w:val="003A42F7"/>
    <w:rsid w:val="003B0259"/>
    <w:rsid w:val="003B4C78"/>
    <w:rsid w:val="003D3914"/>
    <w:rsid w:val="003E1064"/>
    <w:rsid w:val="003E1721"/>
    <w:rsid w:val="003E2FBC"/>
    <w:rsid w:val="003F057C"/>
    <w:rsid w:val="004402C1"/>
    <w:rsid w:val="00444914"/>
    <w:rsid w:val="004620A4"/>
    <w:rsid w:val="0047151B"/>
    <w:rsid w:val="00471A69"/>
    <w:rsid w:val="004C0272"/>
    <w:rsid w:val="004C1F5B"/>
    <w:rsid w:val="004D5586"/>
    <w:rsid w:val="004E43B1"/>
    <w:rsid w:val="004F0C17"/>
    <w:rsid w:val="004F178C"/>
    <w:rsid w:val="004F1F42"/>
    <w:rsid w:val="00502EA3"/>
    <w:rsid w:val="005426F3"/>
    <w:rsid w:val="00543DB8"/>
    <w:rsid w:val="00547F13"/>
    <w:rsid w:val="00560FCC"/>
    <w:rsid w:val="00564904"/>
    <w:rsid w:val="00565E89"/>
    <w:rsid w:val="00582744"/>
    <w:rsid w:val="005A065E"/>
    <w:rsid w:val="005A57FD"/>
    <w:rsid w:val="005B3EF8"/>
    <w:rsid w:val="005E06F8"/>
    <w:rsid w:val="0060077D"/>
    <w:rsid w:val="006078A5"/>
    <w:rsid w:val="0061005E"/>
    <w:rsid w:val="00613124"/>
    <w:rsid w:val="0062789D"/>
    <w:rsid w:val="00650FBE"/>
    <w:rsid w:val="00655173"/>
    <w:rsid w:val="00661247"/>
    <w:rsid w:val="00662FAC"/>
    <w:rsid w:val="0066409C"/>
    <w:rsid w:val="00672395"/>
    <w:rsid w:val="00675C8E"/>
    <w:rsid w:val="00677764"/>
    <w:rsid w:val="006911F3"/>
    <w:rsid w:val="0069757E"/>
    <w:rsid w:val="006A11F8"/>
    <w:rsid w:val="006A4031"/>
    <w:rsid w:val="006B3755"/>
    <w:rsid w:val="006B679D"/>
    <w:rsid w:val="006C0D16"/>
    <w:rsid w:val="006C42E4"/>
    <w:rsid w:val="006D4DD1"/>
    <w:rsid w:val="006E1F8D"/>
    <w:rsid w:val="006F5CB4"/>
    <w:rsid w:val="007109B9"/>
    <w:rsid w:val="00711599"/>
    <w:rsid w:val="00712143"/>
    <w:rsid w:val="007203AB"/>
    <w:rsid w:val="007268DC"/>
    <w:rsid w:val="00726F9F"/>
    <w:rsid w:val="00730395"/>
    <w:rsid w:val="007507D2"/>
    <w:rsid w:val="00757942"/>
    <w:rsid w:val="00757D1B"/>
    <w:rsid w:val="00764518"/>
    <w:rsid w:val="0078002B"/>
    <w:rsid w:val="00784871"/>
    <w:rsid w:val="00786C5D"/>
    <w:rsid w:val="00787433"/>
    <w:rsid w:val="0079142C"/>
    <w:rsid w:val="00792CDB"/>
    <w:rsid w:val="007A2B36"/>
    <w:rsid w:val="007B5A56"/>
    <w:rsid w:val="007C2110"/>
    <w:rsid w:val="007C5B7D"/>
    <w:rsid w:val="007D6198"/>
    <w:rsid w:val="007E3B68"/>
    <w:rsid w:val="007F46DE"/>
    <w:rsid w:val="007F5569"/>
    <w:rsid w:val="00800149"/>
    <w:rsid w:val="00812D85"/>
    <w:rsid w:val="0081301A"/>
    <w:rsid w:val="008247D3"/>
    <w:rsid w:val="00824DE2"/>
    <w:rsid w:val="008252B5"/>
    <w:rsid w:val="00835D53"/>
    <w:rsid w:val="00854339"/>
    <w:rsid w:val="0086509E"/>
    <w:rsid w:val="00865950"/>
    <w:rsid w:val="00870B55"/>
    <w:rsid w:val="00872DEA"/>
    <w:rsid w:val="00882694"/>
    <w:rsid w:val="00885B12"/>
    <w:rsid w:val="00885B94"/>
    <w:rsid w:val="008A776C"/>
    <w:rsid w:val="008C0DD6"/>
    <w:rsid w:val="008C5B1E"/>
    <w:rsid w:val="008D0D4E"/>
    <w:rsid w:val="008D7A34"/>
    <w:rsid w:val="008E6D59"/>
    <w:rsid w:val="008F40BE"/>
    <w:rsid w:val="008F6479"/>
    <w:rsid w:val="00901415"/>
    <w:rsid w:val="00914D6D"/>
    <w:rsid w:val="009240AE"/>
    <w:rsid w:val="00932F07"/>
    <w:rsid w:val="0094060B"/>
    <w:rsid w:val="00941A26"/>
    <w:rsid w:val="00942011"/>
    <w:rsid w:val="00942617"/>
    <w:rsid w:val="0095667C"/>
    <w:rsid w:val="0096465F"/>
    <w:rsid w:val="00980A0A"/>
    <w:rsid w:val="00991A8F"/>
    <w:rsid w:val="009925E5"/>
    <w:rsid w:val="009948A2"/>
    <w:rsid w:val="009956BB"/>
    <w:rsid w:val="009A0139"/>
    <w:rsid w:val="009A4D17"/>
    <w:rsid w:val="009B3F7C"/>
    <w:rsid w:val="009C2A15"/>
    <w:rsid w:val="009C2D7D"/>
    <w:rsid w:val="009C3487"/>
    <w:rsid w:val="009D1EAE"/>
    <w:rsid w:val="009D242C"/>
    <w:rsid w:val="009D48A5"/>
    <w:rsid w:val="009E648F"/>
    <w:rsid w:val="009E651A"/>
    <w:rsid w:val="009F0A9A"/>
    <w:rsid w:val="00A20155"/>
    <w:rsid w:val="00A25C32"/>
    <w:rsid w:val="00A40FAD"/>
    <w:rsid w:val="00A41ACE"/>
    <w:rsid w:val="00A50ED9"/>
    <w:rsid w:val="00A65281"/>
    <w:rsid w:val="00A659C6"/>
    <w:rsid w:val="00A752CD"/>
    <w:rsid w:val="00A81A22"/>
    <w:rsid w:val="00A86617"/>
    <w:rsid w:val="00AA6A7D"/>
    <w:rsid w:val="00AB4049"/>
    <w:rsid w:val="00AC0634"/>
    <w:rsid w:val="00AC3471"/>
    <w:rsid w:val="00AD0AFD"/>
    <w:rsid w:val="00AD0C75"/>
    <w:rsid w:val="00AD2BC0"/>
    <w:rsid w:val="00AD33F7"/>
    <w:rsid w:val="00AE161C"/>
    <w:rsid w:val="00AE436C"/>
    <w:rsid w:val="00AF05E3"/>
    <w:rsid w:val="00AF238F"/>
    <w:rsid w:val="00AF7494"/>
    <w:rsid w:val="00B05560"/>
    <w:rsid w:val="00B25AD0"/>
    <w:rsid w:val="00B42266"/>
    <w:rsid w:val="00B44432"/>
    <w:rsid w:val="00BA1BA4"/>
    <w:rsid w:val="00BB7F52"/>
    <w:rsid w:val="00BD43D9"/>
    <w:rsid w:val="00BD6C2F"/>
    <w:rsid w:val="00BE302E"/>
    <w:rsid w:val="00BE7031"/>
    <w:rsid w:val="00BE71E1"/>
    <w:rsid w:val="00BF1C60"/>
    <w:rsid w:val="00C22401"/>
    <w:rsid w:val="00C34208"/>
    <w:rsid w:val="00C533AE"/>
    <w:rsid w:val="00C579C0"/>
    <w:rsid w:val="00C64DCB"/>
    <w:rsid w:val="00C80663"/>
    <w:rsid w:val="00CB08B0"/>
    <w:rsid w:val="00CD3591"/>
    <w:rsid w:val="00CE282D"/>
    <w:rsid w:val="00CF03E1"/>
    <w:rsid w:val="00CF1707"/>
    <w:rsid w:val="00CF31EB"/>
    <w:rsid w:val="00D02532"/>
    <w:rsid w:val="00D0350D"/>
    <w:rsid w:val="00D20212"/>
    <w:rsid w:val="00D40D3E"/>
    <w:rsid w:val="00D446C8"/>
    <w:rsid w:val="00D45891"/>
    <w:rsid w:val="00D45F7E"/>
    <w:rsid w:val="00D47896"/>
    <w:rsid w:val="00D538AC"/>
    <w:rsid w:val="00D576F9"/>
    <w:rsid w:val="00D62D93"/>
    <w:rsid w:val="00D83D93"/>
    <w:rsid w:val="00D85CC2"/>
    <w:rsid w:val="00D94B58"/>
    <w:rsid w:val="00DA0326"/>
    <w:rsid w:val="00DA3C41"/>
    <w:rsid w:val="00DB26C6"/>
    <w:rsid w:val="00DB7451"/>
    <w:rsid w:val="00DD1F1F"/>
    <w:rsid w:val="00DD3B7B"/>
    <w:rsid w:val="00DE2499"/>
    <w:rsid w:val="00DE706E"/>
    <w:rsid w:val="00E211C3"/>
    <w:rsid w:val="00E26DBC"/>
    <w:rsid w:val="00E26EE0"/>
    <w:rsid w:val="00E358EA"/>
    <w:rsid w:val="00E36CBD"/>
    <w:rsid w:val="00E45A89"/>
    <w:rsid w:val="00E47C9B"/>
    <w:rsid w:val="00E64A4C"/>
    <w:rsid w:val="00E70364"/>
    <w:rsid w:val="00E723D5"/>
    <w:rsid w:val="00E87848"/>
    <w:rsid w:val="00E93557"/>
    <w:rsid w:val="00E96186"/>
    <w:rsid w:val="00EA06F8"/>
    <w:rsid w:val="00EB1E9F"/>
    <w:rsid w:val="00EB20A7"/>
    <w:rsid w:val="00EC3EC0"/>
    <w:rsid w:val="00EC7661"/>
    <w:rsid w:val="00ED2391"/>
    <w:rsid w:val="00ED2D02"/>
    <w:rsid w:val="00EE342E"/>
    <w:rsid w:val="00EF0017"/>
    <w:rsid w:val="00EF11AD"/>
    <w:rsid w:val="00EF22FB"/>
    <w:rsid w:val="00EF2CEA"/>
    <w:rsid w:val="00EF4D36"/>
    <w:rsid w:val="00F019F6"/>
    <w:rsid w:val="00F21AC0"/>
    <w:rsid w:val="00F22E11"/>
    <w:rsid w:val="00F3013F"/>
    <w:rsid w:val="00F31A6F"/>
    <w:rsid w:val="00F41383"/>
    <w:rsid w:val="00F42B9C"/>
    <w:rsid w:val="00F462AF"/>
    <w:rsid w:val="00F517C1"/>
    <w:rsid w:val="00F529AE"/>
    <w:rsid w:val="00F607EC"/>
    <w:rsid w:val="00F613C3"/>
    <w:rsid w:val="00F659DC"/>
    <w:rsid w:val="00F661C3"/>
    <w:rsid w:val="00F75D49"/>
    <w:rsid w:val="00F82810"/>
    <w:rsid w:val="00F851E7"/>
    <w:rsid w:val="00FA7E10"/>
    <w:rsid w:val="00FB6FAD"/>
    <w:rsid w:val="00FC0D35"/>
    <w:rsid w:val="00FC47BB"/>
    <w:rsid w:val="00FD47CB"/>
    <w:rsid w:val="00FD5FAE"/>
    <w:rsid w:val="00FE20D3"/>
    <w:rsid w:val="00FF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580BA"/>
  <w15:chartTrackingRefBased/>
  <w15:docId w15:val="{73F77982-E128-484E-AB7B-C3A8EE19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ourt-e">
    <w:name w:val="zcourt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right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3-e">
    <w:name w:val="zheading3-e"/>
    <w:pPr>
      <w:tabs>
        <w:tab w:val="left" w:pos="0"/>
      </w:tabs>
      <w:spacing w:after="139" w:line="190" w:lineRule="exact"/>
      <w:jc w:val="center"/>
    </w:pPr>
    <w:rPr>
      <w:rFonts w:ascii="Times" w:hAnsi="Times"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noindt-e">
    <w:name w:val="zparanoindt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customStyle="1" w:styleId="zname-e">
    <w:name w:val="zname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13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43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34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34E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EE"/>
    <w:rPr>
      <w:b/>
      <w:bCs/>
      <w:lang w:eastAsia="en-US"/>
    </w:rPr>
  </w:style>
  <w:style w:type="paragraph" w:styleId="Revision">
    <w:name w:val="Revision"/>
    <w:hidden/>
    <w:uiPriority w:val="99"/>
    <w:semiHidden/>
    <w:rsid w:val="00A65281"/>
    <w:rPr>
      <w:sz w:val="24"/>
      <w:szCs w:val="24"/>
      <w:lang w:eastAsia="en-US"/>
    </w:rPr>
  </w:style>
  <w:style w:type="paragraph" w:customStyle="1" w:styleId="NormalBody">
    <w:name w:val="Normal Body"/>
    <w:basedOn w:val="zparawtab-e"/>
    <w:qFormat/>
    <w:rsid w:val="00FE20D3"/>
    <w:pPr>
      <w:spacing w:after="319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771BA5AC280A49801694DDEBAC5BDF" ma:contentTypeVersion="14" ma:contentTypeDescription="Create a new document." ma:contentTypeScope="" ma:versionID="d7d2c6ff59867b59a0071d7537d23e03">
  <xsd:schema xmlns:xsd="http://www.w3.org/2001/XMLSchema" xmlns:xs="http://www.w3.org/2001/XMLSchema" xmlns:p="http://schemas.microsoft.com/office/2006/metadata/properties" xmlns:ns3="4728da9b-c984-4438-ba6b-dfa6b2b20667" xmlns:ns4="df78f06a-cac6-4040-86c6-a4af9bb69946" targetNamespace="http://schemas.microsoft.com/office/2006/metadata/properties" ma:root="true" ma:fieldsID="3575090913e4235be83d83bd25cc0c83" ns3:_="" ns4:_="">
    <xsd:import namespace="4728da9b-c984-4438-ba6b-dfa6b2b20667"/>
    <xsd:import namespace="df78f06a-cac6-4040-86c6-a4af9bb69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8da9b-c984-4438-ba6b-dfa6b2b206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78f06a-cac6-4040-86c6-a4af9bb69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8da9b-c984-4438-ba6b-dfa6b2b20667" xsi:nil="true"/>
  </documentManagement>
</p:properties>
</file>

<file path=customXml/itemProps1.xml><?xml version="1.0" encoding="utf-8"?>
<ds:datastoreItem xmlns:ds="http://schemas.openxmlformats.org/officeDocument/2006/customXml" ds:itemID="{B636EC16-960E-4382-9F8A-FD5DD9702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8da9b-c984-4438-ba6b-dfa6b2b20667"/>
    <ds:schemaRef ds:uri="df78f06a-cac6-4040-86c6-a4af9bb69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097187-87D8-4DB9-8853-04A4B4A3E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83DD6-DDB5-43B3-92BD-FA87A26EA19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78f06a-cac6-4040-86c6-a4af9bb69946"/>
    <ds:schemaRef ds:uri="4728da9b-c984-4438-ba6b-dfa6b2b20667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1074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2.2F</vt:lpstr>
    </vt:vector>
  </TitlesOfParts>
  <Company>MAG</Company>
  <LinksUpToDate>false</LinksUpToDate>
  <CharactersWithSpaces>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2.2F</dc:title>
  <dc:subject>Vexatious Litigant Order</dc:subject>
  <dc:creator>Rottman, M.</dc:creator>
  <cp:keywords/>
  <dc:description/>
  <cp:lastModifiedBy>Rottman, Mike (MAG)</cp:lastModifiedBy>
  <cp:revision>7</cp:revision>
  <dcterms:created xsi:type="dcterms:W3CDTF">2024-06-04T21:04:00Z</dcterms:created>
  <dcterms:modified xsi:type="dcterms:W3CDTF">2024-06-10T15:19:00Z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2021-11-16T21:18:57Z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30d95916-15c1-45d1-9eb5-46e0156e6da9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0x01010061771BA5AC280A49801694DDEBAC5BDF</vt:lpwstr>
  </property>
</Properties>
</file>