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2A3FA" w14:textId="77777777" w:rsidR="00BD1666" w:rsidRPr="00786CD8" w:rsidRDefault="00BD1666" w:rsidP="00786CD8">
      <w:pPr>
        <w:pStyle w:val="NormalBody"/>
        <w:spacing w:after="240"/>
        <w:jc w:val="right"/>
        <w:rPr>
          <w:i/>
          <w:iCs/>
        </w:rPr>
      </w:pPr>
      <w:bookmarkStart w:id="0" w:name="_Hlk49177027"/>
      <w:r w:rsidRPr="00786CD8">
        <w:rPr>
          <w:i/>
          <w:iCs/>
        </w:rPr>
        <w:t>(Court file no.)</w:t>
      </w:r>
      <w:bookmarkEnd w:id="0"/>
    </w:p>
    <w:p w14:paraId="446CE982" w14:textId="10047DB3" w:rsidR="008C21F2" w:rsidRPr="000F47E6" w:rsidRDefault="007E6BEA" w:rsidP="00481DB1">
      <w:pPr>
        <w:pStyle w:val="form-e"/>
        <w:tabs>
          <w:tab w:val="clear" w:pos="0"/>
        </w:tabs>
        <w:spacing w:line="240" w:lineRule="auto"/>
        <w:rPr>
          <w:sz w:val="24"/>
          <w:szCs w:val="24"/>
        </w:rPr>
      </w:pPr>
      <w:r w:rsidRPr="000F47E6">
        <w:rPr>
          <w:sz w:val="24"/>
          <w:szCs w:val="24"/>
        </w:rPr>
        <w:t xml:space="preserve">Form </w:t>
      </w:r>
      <w:r w:rsidR="00922AF6" w:rsidRPr="000F47E6">
        <w:rPr>
          <w:sz w:val="24"/>
          <w:szCs w:val="24"/>
        </w:rPr>
        <w:t>2.2D</w:t>
      </w:r>
    </w:p>
    <w:p w14:paraId="2147030F" w14:textId="77777777" w:rsidR="008C21F2" w:rsidRPr="000F47E6" w:rsidRDefault="007E6BEA" w:rsidP="00481DB1">
      <w:pPr>
        <w:pStyle w:val="act-e"/>
        <w:tabs>
          <w:tab w:val="clear" w:pos="0"/>
        </w:tabs>
        <w:spacing w:line="240" w:lineRule="auto"/>
        <w:rPr>
          <w:sz w:val="24"/>
          <w:szCs w:val="24"/>
        </w:rPr>
      </w:pPr>
      <w:r w:rsidRPr="000F47E6">
        <w:rPr>
          <w:sz w:val="24"/>
          <w:szCs w:val="24"/>
        </w:rPr>
        <w:t>Courts of Justice Act</w:t>
      </w:r>
    </w:p>
    <w:p w14:paraId="3C4D2054" w14:textId="2406E559" w:rsidR="008C21F2" w:rsidRPr="00056101" w:rsidRDefault="00922AF6" w:rsidP="00786CD8">
      <w:pPr>
        <w:pStyle w:val="FormTitle"/>
      </w:pPr>
      <w:r w:rsidRPr="001F1140">
        <w:t xml:space="preserve">RESPONSE FROM </w:t>
      </w:r>
      <w:r w:rsidR="00056101" w:rsidRPr="001F1140">
        <w:t xml:space="preserve">potential </w:t>
      </w:r>
      <w:r w:rsidRPr="001F1140">
        <w:t>SUBJECT OF VEXATIOUS LITIGANT ORDER</w:t>
      </w:r>
      <w:r w:rsidR="007E6BEA" w:rsidRPr="00056101">
        <w:t xml:space="preserve"> </w:t>
      </w:r>
    </w:p>
    <w:p w14:paraId="75DE1419" w14:textId="77777777" w:rsidR="008C21F2" w:rsidRPr="00786CD8" w:rsidRDefault="007E6BEA" w:rsidP="00786CD8">
      <w:pPr>
        <w:pStyle w:val="NormalBody"/>
        <w:spacing w:before="319"/>
        <w:jc w:val="center"/>
        <w:rPr>
          <w:i/>
          <w:iCs/>
        </w:rPr>
      </w:pPr>
      <w:r w:rsidRPr="00786CD8">
        <w:rPr>
          <w:i/>
          <w:iCs/>
        </w:rPr>
        <w:t>(General heading)</w:t>
      </w:r>
    </w:p>
    <w:p w14:paraId="63B5FE43" w14:textId="3C314C38" w:rsidR="008C21F2" w:rsidRPr="000F47E6" w:rsidRDefault="00922AF6" w:rsidP="00786CD8">
      <w:pPr>
        <w:pStyle w:val="FormTitle"/>
        <w:spacing w:after="360"/>
      </w:pPr>
      <w:r w:rsidRPr="001F1140">
        <w:t>RESPONSE FROM</w:t>
      </w:r>
      <w:r w:rsidR="00056101" w:rsidRPr="001F1140">
        <w:t xml:space="preserve"> potential</w:t>
      </w:r>
      <w:r w:rsidRPr="001F1140">
        <w:t xml:space="preserve"> SUBJECT OF VEXATIOUS LITIGANT ORDER</w:t>
      </w:r>
    </w:p>
    <w:p w14:paraId="75D82749" w14:textId="35AB3918" w:rsidR="00343A9C" w:rsidRPr="00174578" w:rsidRDefault="00343A9C" w:rsidP="00786CD8">
      <w:pPr>
        <w:pStyle w:val="NormalBody"/>
      </w:pPr>
      <w:r w:rsidRPr="000F47E6">
        <w:t>I</w:t>
      </w:r>
      <w:r w:rsidR="00C20A6E" w:rsidRPr="000F47E6">
        <w:t xml:space="preserve">, </w:t>
      </w:r>
      <w:r w:rsidR="00C20A6E" w:rsidRPr="000F47E6">
        <w:rPr>
          <w:i/>
          <w:iCs/>
        </w:rPr>
        <w:t>(insert name)</w:t>
      </w:r>
      <w:r w:rsidR="008E3D45" w:rsidRPr="000F47E6">
        <w:t>,</w:t>
      </w:r>
      <w:r w:rsidRPr="000F47E6">
        <w:t xml:space="preserve"> </w:t>
      </w:r>
      <w:r w:rsidR="004D4CDE">
        <w:t xml:space="preserve">am the </w:t>
      </w:r>
      <w:r w:rsidR="00794403">
        <w:t>person who is the potential</w:t>
      </w:r>
      <w:r w:rsidR="004D4CDE">
        <w:t xml:space="preserve"> subject of </w:t>
      </w:r>
      <w:r w:rsidR="00794403">
        <w:t>a</w:t>
      </w:r>
      <w:r w:rsidR="004D4CDE">
        <w:t xml:space="preserve"> vexatious litigant order </w:t>
      </w:r>
      <w:r w:rsidR="006B1642">
        <w:t xml:space="preserve">under subsection 140 (1) of the </w:t>
      </w:r>
      <w:r w:rsidR="006B1642">
        <w:rPr>
          <w:i/>
          <w:iCs/>
        </w:rPr>
        <w:t xml:space="preserve">Courts of Justice Act </w:t>
      </w:r>
      <w:r w:rsidR="003D1D12">
        <w:t>named</w:t>
      </w:r>
      <w:r w:rsidR="00676177">
        <w:t xml:space="preserve"> </w:t>
      </w:r>
      <w:r w:rsidR="006B1642">
        <w:t>in</w:t>
      </w:r>
      <w:r w:rsidR="00676177">
        <w:t xml:space="preserve"> the </w:t>
      </w:r>
      <w:r w:rsidR="00676177">
        <w:rPr>
          <w:i/>
          <w:iCs/>
        </w:rPr>
        <w:t>(</w:t>
      </w:r>
      <w:r w:rsidR="003F2699">
        <w:rPr>
          <w:i/>
          <w:iCs/>
        </w:rPr>
        <w:t xml:space="preserve">select one: </w:t>
      </w:r>
      <w:r w:rsidR="00676177">
        <w:t xml:space="preserve">notice of motion by </w:t>
      </w:r>
      <w:r w:rsidR="00676177">
        <w:rPr>
          <w:i/>
          <w:iCs/>
        </w:rPr>
        <w:t>(identify moving party)</w:t>
      </w:r>
      <w:r w:rsidR="00676177">
        <w:t xml:space="preserve"> / </w:t>
      </w:r>
      <w:r w:rsidR="008C783B">
        <w:t xml:space="preserve">notice of application by </w:t>
      </w:r>
      <w:r w:rsidR="008C783B">
        <w:rPr>
          <w:i/>
          <w:iCs/>
        </w:rPr>
        <w:t>(identify applicant)</w:t>
      </w:r>
      <w:r w:rsidR="008C783B">
        <w:t xml:space="preserve"> / registrar’s notice</w:t>
      </w:r>
      <w:r w:rsidR="008C783B">
        <w:rPr>
          <w:i/>
          <w:iCs/>
        </w:rPr>
        <w:t>)</w:t>
      </w:r>
      <w:r w:rsidR="0014270D">
        <w:t>.</w:t>
      </w:r>
    </w:p>
    <w:p w14:paraId="292118DB" w14:textId="097995B7" w:rsidR="008C21F2" w:rsidRDefault="007E6BEA" w:rsidP="00786CD8">
      <w:pPr>
        <w:pStyle w:val="NormalBody"/>
        <w:rPr>
          <w:i/>
          <w:iCs/>
        </w:rPr>
      </w:pPr>
      <w:r w:rsidRPr="00786CD8">
        <w:rPr>
          <w:i/>
          <w:iCs/>
        </w:rPr>
        <w:tab/>
        <w:t xml:space="preserve">(Set out in separate, consecutively numbered paragraphs </w:t>
      </w:r>
      <w:r w:rsidR="00561581" w:rsidRPr="00786CD8">
        <w:rPr>
          <w:i/>
          <w:iCs/>
        </w:rPr>
        <w:t>the grounds to be argued</w:t>
      </w:r>
      <w:r w:rsidRPr="00786CD8">
        <w:rPr>
          <w:i/>
          <w:iCs/>
        </w:rPr>
        <w:t xml:space="preserve">.) </w:t>
      </w:r>
      <w:r w:rsidRPr="00786CD8">
        <w:rPr>
          <w:i/>
          <w:iCs/>
        </w:rPr>
        <w:br/>
      </w:r>
    </w:p>
    <w:p w14:paraId="75C36019" w14:textId="090969D1" w:rsidR="008C21F2" w:rsidRPr="00786CD8" w:rsidRDefault="00786CD8" w:rsidP="00786CD8">
      <w:pPr>
        <w:pStyle w:val="NormalBody"/>
        <w:tabs>
          <w:tab w:val="clear" w:pos="239"/>
          <w:tab w:val="clear" w:pos="279"/>
          <w:tab w:val="left" w:pos="2070"/>
          <w:tab w:val="right" w:pos="2430"/>
        </w:tabs>
        <w:rPr>
          <w:i/>
          <w:iCs/>
        </w:rPr>
      </w:pPr>
      <w:r>
        <w:rPr>
          <w:i/>
          <w:iCs/>
        </w:rPr>
        <w:t>(Date)</w:t>
      </w:r>
      <w:r>
        <w:rPr>
          <w:i/>
          <w:iCs/>
        </w:rPr>
        <w:tab/>
      </w:r>
      <w:r w:rsidR="007E6BEA" w:rsidRPr="00786CD8">
        <w:rPr>
          <w:i/>
          <w:iCs/>
        </w:rPr>
        <w:t>(Name, address</w:t>
      </w:r>
      <w:r w:rsidR="00B45EDE" w:rsidRPr="00786CD8">
        <w:rPr>
          <w:i/>
          <w:iCs/>
        </w:rPr>
        <w:t>, email address (if any)</w:t>
      </w:r>
      <w:r w:rsidR="007E6BEA" w:rsidRPr="00786CD8">
        <w:rPr>
          <w:i/>
          <w:iCs/>
        </w:rPr>
        <w:t xml:space="preserve"> and telephone number of </w:t>
      </w:r>
      <w:r w:rsidR="00561581" w:rsidRPr="00786CD8">
        <w:rPr>
          <w:i/>
          <w:iCs/>
        </w:rPr>
        <w:t>your</w:t>
      </w:r>
      <w:r w:rsidR="007E6BEA" w:rsidRPr="00786CD8">
        <w:rPr>
          <w:i/>
          <w:iCs/>
        </w:rPr>
        <w:t xml:space="preserve"> lawyer or </w:t>
      </w:r>
      <w:r w:rsidR="00561581" w:rsidRPr="00786CD8">
        <w:rPr>
          <w:i/>
          <w:iCs/>
        </w:rPr>
        <w:t>you</w:t>
      </w:r>
      <w:r w:rsidR="007E6BEA" w:rsidRPr="00786CD8">
        <w:rPr>
          <w:i/>
          <w:iCs/>
        </w:rPr>
        <w:t>)</w:t>
      </w:r>
    </w:p>
    <w:p w14:paraId="634A976A" w14:textId="77777777" w:rsidR="008C21F2" w:rsidRPr="00174578" w:rsidRDefault="008C21F2" w:rsidP="000F47E6">
      <w:pPr>
        <w:pStyle w:val="2x2cell"/>
        <w:tabs>
          <w:tab w:val="clear" w:pos="0"/>
          <w:tab w:val="clear" w:pos="720"/>
          <w:tab w:val="clear" w:pos="1440"/>
          <w:tab w:val="clear" w:pos="2160"/>
          <w:tab w:val="left" w:pos="4140"/>
        </w:tabs>
        <w:spacing w:line="240" w:lineRule="auto"/>
        <w:rPr>
          <w:iCs/>
          <w:sz w:val="24"/>
          <w:szCs w:val="24"/>
        </w:rPr>
      </w:pPr>
    </w:p>
    <w:p w14:paraId="3F9FB2EC" w14:textId="0E342BCC" w:rsidR="008C21F2" w:rsidRPr="00DD7854" w:rsidRDefault="007E6BEA" w:rsidP="00786CD8">
      <w:pPr>
        <w:pStyle w:val="NormalBody"/>
        <w:tabs>
          <w:tab w:val="clear" w:pos="239"/>
          <w:tab w:val="clear" w:pos="279"/>
          <w:tab w:val="right" w:pos="1980"/>
        </w:tabs>
        <w:ind w:left="2070" w:hanging="2070"/>
        <w:rPr>
          <w:iCs/>
        </w:rPr>
      </w:pPr>
      <w:r w:rsidRPr="00174578">
        <w:t xml:space="preserve">TO </w:t>
      </w:r>
      <w:r w:rsidR="00786CD8">
        <w:tab/>
      </w:r>
      <w:r w:rsidR="00786CD8">
        <w:tab/>
      </w:r>
      <w:r w:rsidRPr="00786CD8">
        <w:rPr>
          <w:i/>
          <w:iCs/>
        </w:rPr>
        <w:t>(Name</w:t>
      </w:r>
      <w:r w:rsidR="00B45EDE" w:rsidRPr="00786CD8">
        <w:rPr>
          <w:i/>
          <w:iCs/>
        </w:rPr>
        <w:t xml:space="preserve">, </w:t>
      </w:r>
      <w:r w:rsidRPr="00786CD8">
        <w:rPr>
          <w:i/>
          <w:iCs/>
        </w:rPr>
        <w:t>address</w:t>
      </w:r>
      <w:r w:rsidR="00B45EDE" w:rsidRPr="00786CD8">
        <w:rPr>
          <w:i/>
          <w:iCs/>
        </w:rPr>
        <w:t>, email address (if any) and telephone number</w:t>
      </w:r>
      <w:r w:rsidRPr="00786CD8">
        <w:rPr>
          <w:i/>
          <w:iCs/>
        </w:rPr>
        <w:t xml:space="preserve"> of</w:t>
      </w:r>
      <w:r w:rsidR="00241771" w:rsidRPr="00786CD8">
        <w:rPr>
          <w:i/>
          <w:iCs/>
        </w:rPr>
        <w:t xml:space="preserve"> </w:t>
      </w:r>
      <w:r w:rsidR="00CD3270" w:rsidRPr="00786CD8">
        <w:rPr>
          <w:i/>
          <w:iCs/>
        </w:rPr>
        <w:t xml:space="preserve">all </w:t>
      </w:r>
      <w:r w:rsidR="00241771" w:rsidRPr="00786CD8">
        <w:rPr>
          <w:i/>
          <w:iCs/>
        </w:rPr>
        <w:t>lawyer</w:t>
      </w:r>
      <w:r w:rsidR="00CD3270" w:rsidRPr="00786CD8">
        <w:rPr>
          <w:i/>
          <w:iCs/>
        </w:rPr>
        <w:t>s</w:t>
      </w:r>
      <w:r w:rsidR="00241771" w:rsidRPr="00786CD8">
        <w:rPr>
          <w:i/>
          <w:iCs/>
        </w:rPr>
        <w:t xml:space="preserve"> o</w:t>
      </w:r>
      <w:r w:rsidR="006A28F8" w:rsidRPr="00786CD8">
        <w:rPr>
          <w:i/>
          <w:iCs/>
        </w:rPr>
        <w:t xml:space="preserve">r parties </w:t>
      </w:r>
      <w:r w:rsidR="00A97A44" w:rsidRPr="00786CD8">
        <w:rPr>
          <w:i/>
          <w:iCs/>
        </w:rPr>
        <w:t xml:space="preserve">to the proceeding and all other persons </w:t>
      </w:r>
      <w:r w:rsidR="003F2699" w:rsidRPr="00786CD8">
        <w:rPr>
          <w:i/>
          <w:iCs/>
        </w:rPr>
        <w:t xml:space="preserve">named </w:t>
      </w:r>
      <w:r w:rsidR="006A28F8" w:rsidRPr="00786CD8">
        <w:rPr>
          <w:i/>
          <w:iCs/>
        </w:rPr>
        <w:t xml:space="preserve">in </w:t>
      </w:r>
      <w:r w:rsidR="003F2699" w:rsidRPr="00786CD8">
        <w:rPr>
          <w:i/>
          <w:iCs/>
        </w:rPr>
        <w:t xml:space="preserve">the </w:t>
      </w:r>
      <w:r w:rsidR="006A28F8" w:rsidRPr="00786CD8">
        <w:rPr>
          <w:i/>
          <w:iCs/>
        </w:rPr>
        <w:t>list of ongoing proceedings on</w:t>
      </w:r>
      <w:r w:rsidR="00777B31" w:rsidRPr="00786CD8">
        <w:rPr>
          <w:i/>
          <w:iCs/>
        </w:rPr>
        <w:t xml:space="preserve"> </w:t>
      </w:r>
      <w:r w:rsidR="006A28F8" w:rsidRPr="00786CD8">
        <w:rPr>
          <w:i/>
          <w:iCs/>
        </w:rPr>
        <w:t xml:space="preserve">the </w:t>
      </w:r>
      <w:r w:rsidR="00777B31" w:rsidRPr="00786CD8">
        <w:rPr>
          <w:i/>
          <w:iCs/>
        </w:rPr>
        <w:t>notice</w:t>
      </w:r>
      <w:r w:rsidRPr="00786CD8">
        <w:rPr>
          <w:i/>
          <w:iCs/>
        </w:rPr>
        <w:t>)</w:t>
      </w:r>
    </w:p>
    <w:p w14:paraId="6C9FD369" w14:textId="77777777" w:rsidR="008C21F2" w:rsidRPr="00BD1666" w:rsidRDefault="008C21F2" w:rsidP="000F47E6">
      <w:pPr>
        <w:rPr>
          <w:snapToGrid w:val="0"/>
        </w:rPr>
      </w:pPr>
    </w:p>
    <w:p w14:paraId="4A7E4E84" w14:textId="04BA0D56" w:rsidR="008C21F2" w:rsidRDefault="007E6BEA" w:rsidP="000F47E6">
      <w:pPr>
        <w:pStyle w:val="footnote-e"/>
        <w:spacing w:line="240" w:lineRule="auto"/>
        <w:rPr>
          <w:sz w:val="24"/>
          <w:szCs w:val="24"/>
        </w:rPr>
      </w:pPr>
      <w:r w:rsidRPr="005A4D5A">
        <w:rPr>
          <w:sz w:val="24"/>
          <w:szCs w:val="24"/>
        </w:rPr>
        <w:t xml:space="preserve">RCP-E </w:t>
      </w:r>
      <w:r w:rsidR="00EF39F5" w:rsidRPr="005A4D5A">
        <w:rPr>
          <w:sz w:val="24"/>
          <w:szCs w:val="24"/>
        </w:rPr>
        <w:t>2.2D</w:t>
      </w:r>
      <w:r w:rsidRPr="005A4D5A">
        <w:rPr>
          <w:sz w:val="24"/>
          <w:szCs w:val="24"/>
        </w:rPr>
        <w:t xml:space="preserve"> (</w:t>
      </w:r>
      <w:r w:rsidR="003D1D12" w:rsidRPr="003F4FD5">
        <w:rPr>
          <w:sz w:val="24"/>
          <w:szCs w:val="24"/>
        </w:rPr>
        <w:t>June 1</w:t>
      </w:r>
      <w:r w:rsidRPr="003F4FD5">
        <w:rPr>
          <w:sz w:val="24"/>
          <w:szCs w:val="24"/>
        </w:rPr>
        <w:t>, 20</w:t>
      </w:r>
      <w:r w:rsidR="00EF39F5" w:rsidRPr="003F4FD5">
        <w:rPr>
          <w:sz w:val="24"/>
          <w:szCs w:val="24"/>
        </w:rPr>
        <w:t>24</w:t>
      </w:r>
      <w:r w:rsidRPr="00F163F2">
        <w:rPr>
          <w:sz w:val="24"/>
          <w:szCs w:val="24"/>
        </w:rPr>
        <w:t>)</w:t>
      </w:r>
    </w:p>
    <w:p w14:paraId="5CC9F753" w14:textId="77777777" w:rsidR="002A5F41" w:rsidRDefault="002A5F41" w:rsidP="000F47E6">
      <w:pPr>
        <w:pStyle w:val="footnote-e"/>
        <w:spacing w:line="240" w:lineRule="auto"/>
        <w:rPr>
          <w:sz w:val="24"/>
          <w:szCs w:val="24"/>
        </w:rPr>
        <w:sectPr w:rsidR="002A5F41">
          <w:pgSz w:w="12240" w:h="15840"/>
          <w:pgMar w:top="1109" w:right="965" w:bottom="1109" w:left="1195" w:header="720" w:footer="720" w:gutter="0"/>
          <w:cols w:space="708"/>
          <w:docGrid w:linePitch="360"/>
        </w:sectPr>
      </w:pPr>
    </w:p>
    <w:p w14:paraId="00C3522F" w14:textId="6C5AA79A" w:rsidR="008257AF" w:rsidRDefault="008257AF" w:rsidP="00786CD8">
      <w:pPr>
        <w:pStyle w:val="InstructionsHeading"/>
      </w:pPr>
      <w:r>
        <w:lastRenderedPageBreak/>
        <w:t xml:space="preserve">Instructions for </w:t>
      </w:r>
      <w:r w:rsidRPr="00056101">
        <w:t xml:space="preserve">Making a </w:t>
      </w:r>
      <w:r w:rsidRPr="001F1140">
        <w:t xml:space="preserve">Response from </w:t>
      </w:r>
      <w:r w:rsidR="00056101" w:rsidRPr="001F1140">
        <w:t xml:space="preserve">Potential </w:t>
      </w:r>
      <w:r w:rsidRPr="001F1140">
        <w:t>Subject of Vexatious Litigant Order</w:t>
      </w:r>
    </w:p>
    <w:p w14:paraId="45CCAB7D" w14:textId="77777777" w:rsidR="008257AF" w:rsidRDefault="008257AF" w:rsidP="008257AF">
      <w:pPr>
        <w:pStyle w:val="footnote-e"/>
        <w:spacing w:line="240" w:lineRule="auto"/>
        <w:jc w:val="left"/>
        <w:rPr>
          <w:sz w:val="24"/>
          <w:szCs w:val="24"/>
        </w:rPr>
      </w:pPr>
    </w:p>
    <w:p w14:paraId="0981E1C3" w14:textId="70A4A77C" w:rsidR="00F77888" w:rsidRDefault="00F77888" w:rsidP="00786CD8">
      <w:pPr>
        <w:pStyle w:val="NormalBody"/>
        <w:ind w:left="630" w:hanging="630"/>
      </w:pPr>
      <w:r w:rsidRPr="003F4FD5">
        <w:rPr>
          <w:b/>
          <w:bCs/>
        </w:rPr>
        <w:t xml:space="preserve">Note: </w:t>
      </w:r>
      <w:r w:rsidR="00F755F9">
        <w:t xml:space="preserve">A vexatious litigant order under section 140 (1) of the </w:t>
      </w:r>
      <w:r w:rsidR="00F755F9" w:rsidRPr="003F4FD5">
        <w:rPr>
          <w:i/>
          <w:iCs/>
        </w:rPr>
        <w:t>Courts of Justice Act</w:t>
      </w:r>
      <w:r w:rsidR="00F755F9">
        <w:t xml:space="preserve"> is a serious</w:t>
      </w:r>
      <w:r w:rsidR="00CF4AEB">
        <w:t xml:space="preserve"> matter</w:t>
      </w:r>
      <w:r>
        <w:t>. If a vexatious litigant order is made against you, you may be prevented from commencing or continuing court proceedings in Ontario in future without leave (permission) of a judge of the Superior Court of Justice</w:t>
      </w:r>
      <w:r w:rsidR="00CF4AEB">
        <w:t xml:space="preserve">. </w:t>
      </w:r>
    </w:p>
    <w:p w14:paraId="56E14330" w14:textId="3DCB6D28" w:rsidR="00F755F9" w:rsidRDefault="00CF4AEB" w:rsidP="00786CD8">
      <w:pPr>
        <w:pStyle w:val="NormalBody"/>
        <w:ind w:left="630"/>
      </w:pPr>
      <w:r w:rsidRPr="00786CD8">
        <w:rPr>
          <w:b/>
          <w:bCs/>
        </w:rPr>
        <w:t xml:space="preserve">You are strongly encouraged to seek </w:t>
      </w:r>
      <w:r w:rsidR="00F77888" w:rsidRPr="00786CD8">
        <w:rPr>
          <w:b/>
          <w:bCs/>
        </w:rPr>
        <w:t xml:space="preserve">professional </w:t>
      </w:r>
      <w:r w:rsidR="00BC1699" w:rsidRPr="00786CD8">
        <w:rPr>
          <w:b/>
          <w:bCs/>
        </w:rPr>
        <w:t>legal advice about your options, including how to respond to the notice.</w:t>
      </w:r>
      <w:r w:rsidR="00BC1699">
        <w:t xml:space="preserve"> The following instructions are a basic guide only and are </w:t>
      </w:r>
      <w:r w:rsidR="00BC1699" w:rsidRPr="00AE4C63">
        <w:rPr>
          <w:b/>
          <w:bCs/>
        </w:rPr>
        <w:t>not</w:t>
      </w:r>
      <w:r w:rsidR="00BC1699">
        <w:t xml:space="preserve"> a substitute for the advice and assistance of a lawyer.</w:t>
      </w:r>
      <w:r w:rsidR="00F755F9">
        <w:t xml:space="preserve"> </w:t>
      </w:r>
      <w:r w:rsidR="00E409E8">
        <w:t>For i</w:t>
      </w:r>
      <w:r w:rsidR="00C45D19">
        <w:t>nformation on how to find a lawyer</w:t>
      </w:r>
      <w:r w:rsidR="00E409E8">
        <w:t xml:space="preserve">, including free and lower-cost options, go to: </w:t>
      </w:r>
      <w:hyperlink r:id="rId10" w:history="1">
        <w:r w:rsidR="002A5F41" w:rsidRPr="00BF60AC">
          <w:rPr>
            <w:rStyle w:val="Hyperlink"/>
          </w:rPr>
          <w:t>https://www.ontario.ca/page/find-lawyer-or-paralegal</w:t>
        </w:r>
      </w:hyperlink>
      <w:r w:rsidR="00C45D19">
        <w:t xml:space="preserve">. </w:t>
      </w:r>
    </w:p>
    <w:p w14:paraId="5881508E" w14:textId="77777777" w:rsidR="00F755F9" w:rsidRDefault="00F755F9" w:rsidP="008257AF">
      <w:pPr>
        <w:pStyle w:val="footnote-e"/>
        <w:spacing w:line="240" w:lineRule="auto"/>
        <w:jc w:val="left"/>
        <w:rPr>
          <w:sz w:val="24"/>
          <w:szCs w:val="24"/>
        </w:rPr>
      </w:pPr>
    </w:p>
    <w:p w14:paraId="57DBC0B0" w14:textId="35394127" w:rsidR="008257AF" w:rsidRDefault="008257AF" w:rsidP="00786CD8">
      <w:pPr>
        <w:pStyle w:val="NormalBody"/>
      </w:pPr>
      <w:r w:rsidRPr="00786CD8">
        <w:rPr>
          <w:b/>
          <w:bCs/>
        </w:rPr>
        <w:t>Step 1:</w:t>
      </w:r>
      <w:r>
        <w:t xml:space="preserve"> </w:t>
      </w:r>
      <w:r w:rsidRPr="00EC13A9">
        <w:rPr>
          <w:b/>
          <w:bCs/>
        </w:rPr>
        <w:t>COMPLETE</w:t>
      </w:r>
      <w:r w:rsidRPr="00056101">
        <w:t xml:space="preserve"> the </w:t>
      </w:r>
      <w:r w:rsidR="007C5E8C" w:rsidRPr="00EC13A9">
        <w:rPr>
          <w:b/>
          <w:bCs/>
        </w:rPr>
        <w:t xml:space="preserve">Response from </w:t>
      </w:r>
      <w:r w:rsidR="00056101" w:rsidRPr="00EC13A9">
        <w:rPr>
          <w:b/>
          <w:bCs/>
        </w:rPr>
        <w:t xml:space="preserve">Potential </w:t>
      </w:r>
      <w:r w:rsidR="007C5E8C" w:rsidRPr="00EC13A9">
        <w:rPr>
          <w:b/>
          <w:bCs/>
        </w:rPr>
        <w:t>Subject of Vexatious Litigant Order</w:t>
      </w:r>
      <w:r w:rsidRPr="00056101">
        <w:t xml:space="preserve"> form. Specify the grounds to be argued.</w:t>
      </w:r>
      <w:r>
        <w:t xml:space="preserve"> </w:t>
      </w:r>
    </w:p>
    <w:p w14:paraId="101A0CAB" w14:textId="4DD9A5F7" w:rsidR="00913C69" w:rsidRDefault="00913C69" w:rsidP="00786CD8">
      <w:pPr>
        <w:pStyle w:val="NormalBody"/>
      </w:pPr>
      <w:r>
        <w:rPr>
          <w:b/>
          <w:bCs/>
        </w:rPr>
        <w:t>Step 2: SERVE.</w:t>
      </w:r>
      <w:r>
        <w:t xml:space="preserve"> You must </w:t>
      </w:r>
      <w:r w:rsidR="00833903">
        <w:t>give</w:t>
      </w:r>
      <w:r>
        <w:t xml:space="preserve"> a copy of </w:t>
      </w:r>
      <w:r w:rsidR="00A96E63">
        <w:t xml:space="preserve">your </w:t>
      </w:r>
      <w:r>
        <w:t>response to the party</w:t>
      </w:r>
      <w:r w:rsidR="00FD6BC7">
        <w:t xml:space="preserve"> who made the notice (if any)</w:t>
      </w:r>
      <w:r w:rsidR="007B42FA">
        <w:t xml:space="preserve"> </w:t>
      </w:r>
      <w:r w:rsidR="00FD6BC7">
        <w:t>and to all other</w:t>
      </w:r>
      <w:r w:rsidR="007D4773">
        <w:t xml:space="preserve"> parties or</w:t>
      </w:r>
      <w:r w:rsidR="00FD6BC7">
        <w:t xml:space="preserve"> </w:t>
      </w:r>
      <w:r w:rsidR="006F24A4">
        <w:t>persons</w:t>
      </w:r>
      <w:r>
        <w:t xml:space="preserve"> </w:t>
      </w:r>
      <w:r w:rsidR="007E1074">
        <w:t xml:space="preserve">named </w:t>
      </w:r>
      <w:r>
        <w:t xml:space="preserve">in the list of </w:t>
      </w:r>
      <w:r w:rsidRPr="00AE4C63">
        <w:rPr>
          <w:b/>
          <w:bCs/>
        </w:rPr>
        <w:t>ongoing</w:t>
      </w:r>
      <w:r>
        <w:t xml:space="preserve"> proceedings on the notice. This is called “serving” the parties. There are rules about how this must be done. See Rule 2.2 and Rule 16 of the </w:t>
      </w:r>
      <w:r w:rsidRPr="002A5F41">
        <w:rPr>
          <w:i/>
          <w:iCs/>
        </w:rPr>
        <w:t>Rules of Civil Procedure</w:t>
      </w:r>
      <w:r w:rsidRPr="001D5168">
        <w:t>.</w:t>
      </w:r>
      <w:r w:rsidR="000B3E4E" w:rsidRPr="000B3E4E">
        <w:t xml:space="preserve"> </w:t>
      </w:r>
      <w:r w:rsidR="000B3E4E">
        <w:t>Unless the court orders otherwise, you do not need to serve persons who are named only in the list of disposed proceedings.</w:t>
      </w:r>
    </w:p>
    <w:p w14:paraId="42D0FCF9" w14:textId="4184CE95" w:rsidR="008257AF" w:rsidRDefault="008257AF" w:rsidP="00786CD8">
      <w:pPr>
        <w:pStyle w:val="NormalBody"/>
      </w:pPr>
      <w:r>
        <w:rPr>
          <w:b/>
          <w:bCs/>
        </w:rPr>
        <w:t xml:space="preserve">Step </w:t>
      </w:r>
      <w:r w:rsidR="003477D5">
        <w:rPr>
          <w:b/>
          <w:bCs/>
        </w:rPr>
        <w:t>3</w:t>
      </w:r>
      <w:r>
        <w:rPr>
          <w:b/>
          <w:bCs/>
        </w:rPr>
        <w:t xml:space="preserve">: FILE </w:t>
      </w:r>
      <w:r>
        <w:t xml:space="preserve">the </w:t>
      </w:r>
      <w:r w:rsidR="005406C6">
        <w:t>response</w:t>
      </w:r>
      <w:r w:rsidR="002332ED">
        <w:t>, along with proof of service</w:t>
      </w:r>
      <w:r w:rsidR="00DE0D39" w:rsidRPr="00DE0D39">
        <w:t xml:space="preserve"> </w:t>
      </w:r>
      <w:r w:rsidR="00DE0D39">
        <w:t xml:space="preserve">in accordance with rule 16.09 of the </w:t>
      </w:r>
      <w:r w:rsidR="00DE0D39" w:rsidRPr="004B2243">
        <w:rPr>
          <w:i/>
          <w:iCs/>
        </w:rPr>
        <w:t>Rules of Civil Procedure</w:t>
      </w:r>
      <w:r w:rsidR="002332ED">
        <w:t xml:space="preserve">, </w:t>
      </w:r>
      <w:r w:rsidR="005406C6">
        <w:t xml:space="preserve">with the court where the </w:t>
      </w:r>
      <w:r w:rsidR="00DF7C26">
        <w:t xml:space="preserve">notice of </w:t>
      </w:r>
      <w:r w:rsidR="005406C6">
        <w:t>motion or</w:t>
      </w:r>
      <w:r w:rsidR="00DF7C26">
        <w:t xml:space="preserve"> notice of</w:t>
      </w:r>
      <w:r w:rsidR="005406C6">
        <w:t xml:space="preserve"> application against you was filed or where the registrar’s notice</w:t>
      </w:r>
      <w:r w:rsidR="006337E5">
        <w:t xml:space="preserve"> was made</w:t>
      </w:r>
      <w:r w:rsidR="001A6CAC">
        <w:t>. You must file your response</w:t>
      </w:r>
      <w:r w:rsidR="00540448">
        <w:t xml:space="preserve"> within </w:t>
      </w:r>
      <w:r w:rsidR="003476BA">
        <w:t>20 days after you received the notice.</w:t>
      </w:r>
    </w:p>
    <w:p w14:paraId="6685C282" w14:textId="77777777" w:rsidR="008257AF" w:rsidRDefault="008257AF" w:rsidP="008257AF">
      <w:pPr>
        <w:pStyle w:val="footnote-e"/>
        <w:spacing w:line="240" w:lineRule="auto"/>
        <w:jc w:val="left"/>
        <w:rPr>
          <w:sz w:val="24"/>
          <w:szCs w:val="24"/>
        </w:rPr>
      </w:pPr>
    </w:p>
    <w:p w14:paraId="79390CCF" w14:textId="0AB844D7" w:rsidR="000D1B01" w:rsidRPr="00481DB1" w:rsidRDefault="000D1B01" w:rsidP="00786CD8">
      <w:pPr>
        <w:pStyle w:val="InstructionsHeading"/>
        <w:spacing w:after="240"/>
      </w:pPr>
      <w:r w:rsidRPr="00481DB1">
        <w:t xml:space="preserve">What </w:t>
      </w:r>
      <w:r w:rsidR="00CB0527">
        <w:t>H</w:t>
      </w:r>
      <w:r w:rsidRPr="00481DB1">
        <w:t xml:space="preserve">appens </w:t>
      </w:r>
      <w:r w:rsidR="00CB0527">
        <w:t>N</w:t>
      </w:r>
      <w:r w:rsidRPr="00481DB1">
        <w:t>ext?</w:t>
      </w:r>
    </w:p>
    <w:p w14:paraId="6DD4D5A0" w14:textId="12760D1F" w:rsidR="00C8534D" w:rsidRDefault="007B4DA1" w:rsidP="00786CD8">
      <w:pPr>
        <w:pStyle w:val="NormalBody"/>
      </w:pPr>
      <w:r>
        <w:rPr>
          <w:b/>
          <w:bCs/>
        </w:rPr>
        <w:t xml:space="preserve">REPLY. </w:t>
      </w:r>
      <w:r>
        <w:t>Any other party or person named</w:t>
      </w:r>
      <w:r w:rsidR="00D3541D">
        <w:t xml:space="preserve"> in the list of ongoing proceedings</w:t>
      </w:r>
      <w:r>
        <w:t xml:space="preserve"> </w:t>
      </w:r>
      <w:r w:rsidR="00C340BC">
        <w:t xml:space="preserve">in </w:t>
      </w:r>
      <w:r>
        <w:t xml:space="preserve">the notice may choose to serve and file a </w:t>
      </w:r>
      <w:r w:rsidR="00A447CE" w:rsidRPr="00481DB1">
        <w:rPr>
          <w:b/>
          <w:bCs/>
        </w:rPr>
        <w:t xml:space="preserve">Form 2.2E </w:t>
      </w:r>
      <w:r w:rsidR="00CB0527" w:rsidRPr="00481DB1">
        <w:rPr>
          <w:b/>
          <w:bCs/>
        </w:rPr>
        <w:t>Reply Respecting Po</w:t>
      </w:r>
      <w:r w:rsidR="003D2360">
        <w:rPr>
          <w:b/>
          <w:bCs/>
        </w:rPr>
        <w:t>tential</w:t>
      </w:r>
      <w:r w:rsidR="00CB0527" w:rsidRPr="00481DB1">
        <w:rPr>
          <w:b/>
          <w:bCs/>
        </w:rPr>
        <w:t xml:space="preserve"> Vexatious Litigant Order</w:t>
      </w:r>
      <w:r w:rsidR="00CB0527">
        <w:t xml:space="preserve"> </w:t>
      </w:r>
      <w:r w:rsidR="00C8534D">
        <w:t xml:space="preserve">up to 20 days after you </w:t>
      </w:r>
      <w:r w:rsidR="00DF268B">
        <w:t>serve</w:t>
      </w:r>
      <w:r w:rsidR="00C8534D">
        <w:t xml:space="preserve"> your response. If you do not </w:t>
      </w:r>
      <w:r w:rsidR="00A604AA">
        <w:t xml:space="preserve">serve and </w:t>
      </w:r>
      <w:r w:rsidR="00C8534D">
        <w:t>file a response, any other party or person named in the</w:t>
      </w:r>
      <w:r w:rsidR="007E1074">
        <w:t xml:space="preserve"> list of ongoing proceedings on the</w:t>
      </w:r>
      <w:r w:rsidR="00C8534D">
        <w:t xml:space="preserve"> notice may serve and file a reply up to 30 days after the notice was </w:t>
      </w:r>
      <w:r w:rsidR="005E5D7D">
        <w:t>received</w:t>
      </w:r>
      <w:r w:rsidR="00C8534D">
        <w:t>.</w:t>
      </w:r>
    </w:p>
    <w:p w14:paraId="37703C23" w14:textId="6CF92782" w:rsidR="008257AF" w:rsidRDefault="00F05C8D" w:rsidP="00786CD8">
      <w:pPr>
        <w:pStyle w:val="NormalBody"/>
      </w:pPr>
      <w:r>
        <w:rPr>
          <w:b/>
          <w:bCs/>
        </w:rPr>
        <w:t xml:space="preserve">JUDGE’S INITIAL </w:t>
      </w:r>
      <w:r w:rsidR="009C49F7">
        <w:rPr>
          <w:b/>
          <w:bCs/>
        </w:rPr>
        <w:t>REVIEW</w:t>
      </w:r>
      <w:r w:rsidR="008257AF">
        <w:rPr>
          <w:b/>
          <w:bCs/>
        </w:rPr>
        <w:t>.</w:t>
      </w:r>
      <w:r w:rsidR="008257AF">
        <w:t xml:space="preserve"> </w:t>
      </w:r>
      <w:r w:rsidR="003477D5">
        <w:t xml:space="preserve">After </w:t>
      </w:r>
      <w:r w:rsidR="009C49F7">
        <w:t>the time to file a response and any replies has elapsed, a judge will conduct an initial review of all submissions</w:t>
      </w:r>
      <w:r w:rsidR="00C21011">
        <w:t xml:space="preserve">. Upon completion of the review, the judge will make an order </w:t>
      </w:r>
      <w:r w:rsidR="00C21011" w:rsidRPr="0078230C">
        <w:t xml:space="preserve">in </w:t>
      </w:r>
      <w:r w:rsidR="00C21011" w:rsidRPr="001F1140">
        <w:rPr>
          <w:b/>
          <w:bCs/>
        </w:rPr>
        <w:t xml:space="preserve">Form 2.2F </w:t>
      </w:r>
      <w:r w:rsidR="00056101" w:rsidRPr="001F1140">
        <w:rPr>
          <w:b/>
          <w:bCs/>
        </w:rPr>
        <w:t xml:space="preserve">Order Following </w:t>
      </w:r>
      <w:r w:rsidR="00D81B1F" w:rsidRPr="001F1140">
        <w:rPr>
          <w:b/>
          <w:bCs/>
        </w:rPr>
        <w:t>Initial Review Under Rule 2.2</w:t>
      </w:r>
      <w:r w:rsidR="00051849" w:rsidRPr="001F1140">
        <w:t xml:space="preserve"> </w:t>
      </w:r>
      <w:r w:rsidR="008A73C5" w:rsidRPr="001F1140">
        <w:t xml:space="preserve">regarding whether to </w:t>
      </w:r>
      <w:r w:rsidR="00051849" w:rsidRPr="001F1140">
        <w:t xml:space="preserve">schedule a hearing </w:t>
      </w:r>
      <w:r w:rsidR="008A73C5" w:rsidRPr="001F1140">
        <w:t>in the matter</w:t>
      </w:r>
      <w:r w:rsidR="00051849" w:rsidRPr="001F1140">
        <w:t xml:space="preserve">. </w:t>
      </w:r>
      <w:r w:rsidR="00A24935" w:rsidRPr="001F1140">
        <w:t>The registrar will provide a copy of the order to every party or person who filed a document to participate in the matter.</w:t>
      </w:r>
    </w:p>
    <w:p w14:paraId="11DB351C" w14:textId="26ECF200" w:rsidR="008201A2" w:rsidRDefault="00067225" w:rsidP="00786CD8">
      <w:pPr>
        <w:pStyle w:val="NormalBody"/>
        <w:spacing w:after="240"/>
      </w:pPr>
      <w:r>
        <w:rPr>
          <w:b/>
          <w:bCs/>
        </w:rPr>
        <w:t xml:space="preserve">HEARING, </w:t>
      </w:r>
      <w:r w:rsidR="00CA680B">
        <w:rPr>
          <w:b/>
          <w:bCs/>
        </w:rPr>
        <w:t>DECISION AND ORDER.</w:t>
      </w:r>
      <w:r w:rsidR="00CA680B">
        <w:t xml:space="preserve"> </w:t>
      </w:r>
      <w:r w:rsidR="00B70F88">
        <w:t>If</w:t>
      </w:r>
      <w:r w:rsidR="00CA680B">
        <w:t xml:space="preserve"> </w:t>
      </w:r>
      <w:r w:rsidR="00B70F88">
        <w:t>a</w:t>
      </w:r>
      <w:r w:rsidR="00CA680B">
        <w:t xml:space="preserve"> hearing</w:t>
      </w:r>
      <w:r>
        <w:t xml:space="preserve"> is ordered following the initial review</w:t>
      </w:r>
      <w:r w:rsidR="00CA680B">
        <w:t xml:space="preserve">, the </w:t>
      </w:r>
      <w:r>
        <w:t>hearing will be conducted according to the directions provided. A</w:t>
      </w:r>
      <w:r w:rsidR="00B70F88">
        <w:t>fter the hearing,</w:t>
      </w:r>
      <w:r w:rsidR="00CA680B">
        <w:t xml:space="preserve"> </w:t>
      </w:r>
      <w:r>
        <w:t xml:space="preserve">the presiding judge </w:t>
      </w:r>
      <w:r w:rsidR="00CA680B">
        <w:t xml:space="preserve">will either make </w:t>
      </w:r>
      <w:r w:rsidR="00AB22C9">
        <w:t xml:space="preserve">a vexatious litigant order in </w:t>
      </w:r>
      <w:r w:rsidR="00AB22C9" w:rsidRPr="00AB22C9">
        <w:rPr>
          <w:b/>
          <w:bCs/>
        </w:rPr>
        <w:t>Form 2.2G Vexatious Litigant Order</w:t>
      </w:r>
      <w:r w:rsidR="007E14E6" w:rsidRPr="003F4FD5">
        <w:t xml:space="preserve"> or decline to make a vexatious </w:t>
      </w:r>
      <w:r w:rsidR="007E14E6" w:rsidRPr="003F4FD5">
        <w:lastRenderedPageBreak/>
        <w:t>litigant order</w:t>
      </w:r>
      <w:r w:rsidR="00AB22C9" w:rsidRPr="007E14E6">
        <w:t>.</w:t>
      </w:r>
      <w:r w:rsidR="00597F7A" w:rsidRPr="007E14E6">
        <w:t xml:space="preserve"> If</w:t>
      </w:r>
      <w:r w:rsidR="00597F7A">
        <w:t xml:space="preserve"> a vexatious litigant order is made</w:t>
      </w:r>
      <w:r>
        <w:t xml:space="preserve"> against you</w:t>
      </w:r>
      <w:r w:rsidR="00597F7A">
        <w:t xml:space="preserve">, </w:t>
      </w:r>
      <w:r w:rsidR="00606BF0">
        <w:t xml:space="preserve">you may be </w:t>
      </w:r>
      <w:r w:rsidR="007E14E6">
        <w:t xml:space="preserve">declared a vexatious litigant and </w:t>
      </w:r>
      <w:r w:rsidR="00E76A55">
        <w:t xml:space="preserve">be </w:t>
      </w:r>
      <w:r>
        <w:t>restricted from</w:t>
      </w:r>
      <w:r w:rsidR="008201A2">
        <w:t>:</w:t>
      </w:r>
    </w:p>
    <w:p w14:paraId="1441A58D" w14:textId="23DFA83A" w:rsidR="00051849" w:rsidRDefault="0063274B" w:rsidP="00786CD8">
      <w:pPr>
        <w:pStyle w:val="Bullet"/>
      </w:pPr>
      <w:r>
        <w:t>c</w:t>
      </w:r>
      <w:r w:rsidR="004B4DDB">
        <w:t>ommenc</w:t>
      </w:r>
      <w:r w:rsidR="00067225">
        <w:t>ing</w:t>
      </w:r>
      <w:r w:rsidR="004B4DDB">
        <w:t xml:space="preserve"> </w:t>
      </w:r>
      <w:r w:rsidR="00D60F3E">
        <w:t xml:space="preserve">or continuing </w:t>
      </w:r>
      <w:r w:rsidR="004B4DDB">
        <w:t xml:space="preserve">any court proceedings </w:t>
      </w:r>
      <w:r w:rsidR="00D60F3E">
        <w:t xml:space="preserve">in </w:t>
      </w:r>
      <w:proofErr w:type="gramStart"/>
      <w:r w:rsidR="00D60F3E">
        <w:t>future</w:t>
      </w:r>
      <w:r w:rsidR="008201A2">
        <w:t>;</w:t>
      </w:r>
      <w:proofErr w:type="gramEnd"/>
    </w:p>
    <w:p w14:paraId="109ACA70" w14:textId="36C2BBD5" w:rsidR="004B3DC6" w:rsidRDefault="0063274B" w:rsidP="00786CD8">
      <w:pPr>
        <w:pStyle w:val="Bullet"/>
      </w:pPr>
      <w:r>
        <w:t>c</w:t>
      </w:r>
      <w:r w:rsidR="004B3DC6">
        <w:t>ommenc</w:t>
      </w:r>
      <w:r w:rsidR="00D60F3E">
        <w:t>ing</w:t>
      </w:r>
      <w:r w:rsidR="004B3DC6">
        <w:t xml:space="preserve"> </w:t>
      </w:r>
      <w:r w:rsidR="00D60F3E">
        <w:t xml:space="preserve">or continuing </w:t>
      </w:r>
      <w:r w:rsidR="004B3DC6">
        <w:t xml:space="preserve">any court proceedings </w:t>
      </w:r>
      <w:r w:rsidR="00624C18">
        <w:t xml:space="preserve">in future </w:t>
      </w:r>
      <w:r w:rsidR="00405839">
        <w:t xml:space="preserve">against </w:t>
      </w:r>
      <w:proofErr w:type="gramStart"/>
      <w:r w:rsidR="00405839">
        <w:t>particular parties</w:t>
      </w:r>
      <w:proofErr w:type="gramEnd"/>
      <w:r w:rsidR="004B3DC6">
        <w:t>;</w:t>
      </w:r>
      <w:r w:rsidR="00624C18">
        <w:t xml:space="preserve"> and/or</w:t>
      </w:r>
    </w:p>
    <w:p w14:paraId="76FF89C3" w14:textId="1B3A5D69" w:rsidR="00C56327" w:rsidRDefault="0063274B" w:rsidP="00786CD8">
      <w:pPr>
        <w:pStyle w:val="Bullet"/>
      </w:pPr>
      <w:r>
        <w:t>c</w:t>
      </w:r>
      <w:r w:rsidR="004B3DC6">
        <w:t>ommenc</w:t>
      </w:r>
      <w:r w:rsidR="00624C18">
        <w:t xml:space="preserve">ing or </w:t>
      </w:r>
      <w:r w:rsidR="00C56327">
        <w:t>continuing</w:t>
      </w:r>
      <w:r w:rsidR="004B3DC6">
        <w:t xml:space="preserve"> any court proceedings </w:t>
      </w:r>
      <w:r w:rsidR="00C56327">
        <w:t xml:space="preserve">in future regarding </w:t>
      </w:r>
      <w:proofErr w:type="gramStart"/>
      <w:r w:rsidR="00405839">
        <w:t>particular subject</w:t>
      </w:r>
      <w:proofErr w:type="gramEnd"/>
      <w:r w:rsidR="00405839">
        <w:t xml:space="preserve"> </w:t>
      </w:r>
      <w:r w:rsidR="00C56327">
        <w:t>matter</w:t>
      </w:r>
    </w:p>
    <w:p w14:paraId="588BA7CA" w14:textId="5E705532" w:rsidR="008201A2" w:rsidRDefault="004B3DC6" w:rsidP="00786CD8">
      <w:pPr>
        <w:pStyle w:val="NormalBody"/>
        <w:spacing w:before="240"/>
      </w:pPr>
      <w:r>
        <w:t xml:space="preserve">without leave </w:t>
      </w:r>
      <w:r w:rsidR="00C56327">
        <w:t xml:space="preserve">(permission) </w:t>
      </w:r>
      <w:r>
        <w:t xml:space="preserve">of a </w:t>
      </w:r>
      <w:r w:rsidR="00D6200E">
        <w:t xml:space="preserve">judge of the </w:t>
      </w:r>
      <w:r>
        <w:t>Superior Court of Justice</w:t>
      </w:r>
      <w:r w:rsidR="00D6200E">
        <w:t xml:space="preserve">. </w:t>
      </w:r>
      <w:r w:rsidR="00405839">
        <w:t xml:space="preserve">You </w:t>
      </w:r>
      <w:r w:rsidR="00C56327">
        <w:t xml:space="preserve">may </w:t>
      </w:r>
      <w:r w:rsidR="00405839">
        <w:t>also be subject to other term</w:t>
      </w:r>
      <w:r w:rsidR="00C56327">
        <w:t>s that the presiding judge determines</w:t>
      </w:r>
      <w:r w:rsidR="00405839">
        <w:t xml:space="preserve"> </w:t>
      </w:r>
      <w:r w:rsidR="00C56327">
        <w:t>are</w:t>
      </w:r>
      <w:r w:rsidR="00722342">
        <w:t xml:space="preserve"> just. </w:t>
      </w:r>
    </w:p>
    <w:p w14:paraId="7FBCDADB" w14:textId="7B568E66" w:rsidR="00CB0527" w:rsidRPr="00CA680B" w:rsidRDefault="00CB0527" w:rsidP="00786CD8">
      <w:pPr>
        <w:pStyle w:val="NormalBody"/>
      </w:pPr>
      <w:r>
        <w:t xml:space="preserve">If the judge </w:t>
      </w:r>
      <w:r w:rsidR="00922687">
        <w:t>declines to make a vexatious litigant order against you, the judge will make an order reflecting this decision and will provide reasons.</w:t>
      </w:r>
    </w:p>
    <w:p w14:paraId="31A98446" w14:textId="6D44E273" w:rsidR="00242AFA" w:rsidRPr="002A5F41" w:rsidRDefault="00DC4B2D" w:rsidP="002A5F41">
      <w:pPr>
        <w:pStyle w:val="NormalBody"/>
      </w:pPr>
      <w:r>
        <w:rPr>
          <w:b/>
          <w:bCs/>
        </w:rPr>
        <w:t>APPEAL.</w:t>
      </w:r>
      <w:r>
        <w:t xml:space="preserve"> A vexatious litigant order may be appealed, as set out in section 140(2.3) of the </w:t>
      </w:r>
      <w:r w:rsidRPr="002877C8">
        <w:rPr>
          <w:i/>
          <w:iCs/>
        </w:rPr>
        <w:t>Courts of Justice Act</w:t>
      </w:r>
      <w:r>
        <w:t>.</w:t>
      </w:r>
    </w:p>
    <w:sectPr w:rsidR="00242AFA" w:rsidRPr="002A5F41">
      <w:footerReference w:type="default" r:id="rId11"/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1F603" w14:textId="77777777" w:rsidR="00985A26" w:rsidRDefault="00985A26" w:rsidP="007E6BEA">
      <w:r>
        <w:separator/>
      </w:r>
    </w:p>
  </w:endnote>
  <w:endnote w:type="continuationSeparator" w:id="0">
    <w:p w14:paraId="3ACBE1D4" w14:textId="77777777" w:rsidR="00985A26" w:rsidRDefault="00985A26" w:rsidP="007E6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FF3EC" w14:textId="57643B97" w:rsidR="002A5F41" w:rsidRDefault="002A5F41">
    <w:pPr>
      <w:pStyle w:val="Foo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CF2AEB" wp14:editId="51AE3C5B">
              <wp:simplePos x="0" y="0"/>
              <wp:positionH relativeFrom="column">
                <wp:posOffset>-19990</wp:posOffset>
              </wp:positionH>
              <wp:positionV relativeFrom="paragraph">
                <wp:posOffset>17983</wp:posOffset>
              </wp:positionV>
              <wp:extent cx="6437376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7376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1DD32E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5pt,1.4pt" to="505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" strokecolor="black [3213]" strokeweight=".5pt">
              <v:stroke joinstyle="miter"/>
            </v:line>
          </w:pict>
        </mc:Fallback>
      </mc:AlternateContent>
    </w:r>
    <w:r w:rsidRPr="00B03C46">
      <w:rPr>
        <w:b/>
        <w:bCs/>
      </w:rPr>
      <w:t>DO NOT FILE THESE INSTRUCTION PAGES.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F3F62" w14:textId="77777777" w:rsidR="00985A26" w:rsidRDefault="00985A26" w:rsidP="007E6BEA">
      <w:r>
        <w:separator/>
      </w:r>
    </w:p>
  </w:footnote>
  <w:footnote w:type="continuationSeparator" w:id="0">
    <w:p w14:paraId="545318A8" w14:textId="77777777" w:rsidR="00985A26" w:rsidRDefault="00985A26" w:rsidP="007E6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A75AA"/>
    <w:multiLevelType w:val="hybridMultilevel"/>
    <w:tmpl w:val="58BA6882"/>
    <w:lvl w:ilvl="0" w:tplc="DA0CB426">
      <w:numFmt w:val="bullet"/>
      <w:pStyle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294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BEA"/>
    <w:rsid w:val="00051849"/>
    <w:rsid w:val="00056101"/>
    <w:rsid w:val="00062431"/>
    <w:rsid w:val="00067225"/>
    <w:rsid w:val="000A497B"/>
    <w:rsid w:val="000B3E4E"/>
    <w:rsid w:val="000D1B01"/>
    <w:rsid w:val="000F47E6"/>
    <w:rsid w:val="0014270D"/>
    <w:rsid w:val="00150302"/>
    <w:rsid w:val="0016378D"/>
    <w:rsid w:val="00174578"/>
    <w:rsid w:val="00195023"/>
    <w:rsid w:val="001A2240"/>
    <w:rsid w:val="001A6CAC"/>
    <w:rsid w:val="001F1140"/>
    <w:rsid w:val="002332ED"/>
    <w:rsid w:val="00241771"/>
    <w:rsid w:val="00242AFA"/>
    <w:rsid w:val="0024727E"/>
    <w:rsid w:val="002A5F41"/>
    <w:rsid w:val="002E6941"/>
    <w:rsid w:val="00343A9C"/>
    <w:rsid w:val="003476BA"/>
    <w:rsid w:val="003477D5"/>
    <w:rsid w:val="00362D79"/>
    <w:rsid w:val="00374FC2"/>
    <w:rsid w:val="003764D2"/>
    <w:rsid w:val="003D1D12"/>
    <w:rsid w:val="003D2360"/>
    <w:rsid w:val="003F2699"/>
    <w:rsid w:val="003F4FD5"/>
    <w:rsid w:val="00405839"/>
    <w:rsid w:val="00440D7F"/>
    <w:rsid w:val="004446AC"/>
    <w:rsid w:val="0047111E"/>
    <w:rsid w:val="00481DB1"/>
    <w:rsid w:val="00494864"/>
    <w:rsid w:val="00497E32"/>
    <w:rsid w:val="004B3DC6"/>
    <w:rsid w:val="004B4DDB"/>
    <w:rsid w:val="004D4CDE"/>
    <w:rsid w:val="004E18A3"/>
    <w:rsid w:val="005262A7"/>
    <w:rsid w:val="00540448"/>
    <w:rsid w:val="005406C6"/>
    <w:rsid w:val="00557CE5"/>
    <w:rsid w:val="00561581"/>
    <w:rsid w:val="00597F7A"/>
    <w:rsid w:val="005A2FF2"/>
    <w:rsid w:val="005A4D5A"/>
    <w:rsid w:val="005E5D7D"/>
    <w:rsid w:val="005F1CF4"/>
    <w:rsid w:val="00604D79"/>
    <w:rsid w:val="00606BF0"/>
    <w:rsid w:val="00624C18"/>
    <w:rsid w:val="00624D2B"/>
    <w:rsid w:val="0063274B"/>
    <w:rsid w:val="006337E5"/>
    <w:rsid w:val="00676177"/>
    <w:rsid w:val="00696CEC"/>
    <w:rsid w:val="006A28F8"/>
    <w:rsid w:val="006B1642"/>
    <w:rsid w:val="006F24A4"/>
    <w:rsid w:val="00722342"/>
    <w:rsid w:val="007669F5"/>
    <w:rsid w:val="00777B31"/>
    <w:rsid w:val="0078230C"/>
    <w:rsid w:val="00786CD8"/>
    <w:rsid w:val="00794403"/>
    <w:rsid w:val="007A49DD"/>
    <w:rsid w:val="007B42FA"/>
    <w:rsid w:val="007B4DA1"/>
    <w:rsid w:val="007C5E8C"/>
    <w:rsid w:val="007D4773"/>
    <w:rsid w:val="007E1074"/>
    <w:rsid w:val="007E14E6"/>
    <w:rsid w:val="007E6BEA"/>
    <w:rsid w:val="008201A2"/>
    <w:rsid w:val="008257AF"/>
    <w:rsid w:val="00833903"/>
    <w:rsid w:val="008A73C5"/>
    <w:rsid w:val="008B524D"/>
    <w:rsid w:val="008B597D"/>
    <w:rsid w:val="008C21F2"/>
    <w:rsid w:val="008C783B"/>
    <w:rsid w:val="008D5A46"/>
    <w:rsid w:val="008E36BD"/>
    <w:rsid w:val="008E3D45"/>
    <w:rsid w:val="008F043F"/>
    <w:rsid w:val="00902BEF"/>
    <w:rsid w:val="00913C69"/>
    <w:rsid w:val="00922687"/>
    <w:rsid w:val="00922AF6"/>
    <w:rsid w:val="00981E20"/>
    <w:rsid w:val="00985A26"/>
    <w:rsid w:val="009A17B5"/>
    <w:rsid w:val="009C1F61"/>
    <w:rsid w:val="009C49F7"/>
    <w:rsid w:val="00A24935"/>
    <w:rsid w:val="00A447CE"/>
    <w:rsid w:val="00A50929"/>
    <w:rsid w:val="00A604AA"/>
    <w:rsid w:val="00A96E63"/>
    <w:rsid w:val="00A97A44"/>
    <w:rsid w:val="00AB22C9"/>
    <w:rsid w:val="00AE4C63"/>
    <w:rsid w:val="00B077D7"/>
    <w:rsid w:val="00B45EDE"/>
    <w:rsid w:val="00B4657B"/>
    <w:rsid w:val="00B652A5"/>
    <w:rsid w:val="00B70F88"/>
    <w:rsid w:val="00B8359A"/>
    <w:rsid w:val="00BC1699"/>
    <w:rsid w:val="00BD1666"/>
    <w:rsid w:val="00C20A6E"/>
    <w:rsid w:val="00C21011"/>
    <w:rsid w:val="00C340BC"/>
    <w:rsid w:val="00C45D19"/>
    <w:rsid w:val="00C56327"/>
    <w:rsid w:val="00C63DEB"/>
    <w:rsid w:val="00C8534D"/>
    <w:rsid w:val="00C946EE"/>
    <w:rsid w:val="00CA680B"/>
    <w:rsid w:val="00CB0527"/>
    <w:rsid w:val="00CD3270"/>
    <w:rsid w:val="00CF4411"/>
    <w:rsid w:val="00CF4AEB"/>
    <w:rsid w:val="00D122DF"/>
    <w:rsid w:val="00D3541D"/>
    <w:rsid w:val="00D60F3E"/>
    <w:rsid w:val="00D6200E"/>
    <w:rsid w:val="00D81B1F"/>
    <w:rsid w:val="00D91B40"/>
    <w:rsid w:val="00DC4B2D"/>
    <w:rsid w:val="00DD4C68"/>
    <w:rsid w:val="00DD7854"/>
    <w:rsid w:val="00DE0D39"/>
    <w:rsid w:val="00DE1594"/>
    <w:rsid w:val="00DE48E4"/>
    <w:rsid w:val="00DF268B"/>
    <w:rsid w:val="00DF7C26"/>
    <w:rsid w:val="00E026C5"/>
    <w:rsid w:val="00E36E97"/>
    <w:rsid w:val="00E409E8"/>
    <w:rsid w:val="00E76A55"/>
    <w:rsid w:val="00E86D1C"/>
    <w:rsid w:val="00EC13A9"/>
    <w:rsid w:val="00EF39F5"/>
    <w:rsid w:val="00F05C8D"/>
    <w:rsid w:val="00F163F2"/>
    <w:rsid w:val="00F274E4"/>
    <w:rsid w:val="00F544B0"/>
    <w:rsid w:val="00F676E8"/>
    <w:rsid w:val="00F751BD"/>
    <w:rsid w:val="00F755F9"/>
    <w:rsid w:val="00F77888"/>
    <w:rsid w:val="00F8482D"/>
    <w:rsid w:val="00F902DA"/>
    <w:rsid w:val="00FD6BC7"/>
    <w:rsid w:val="00FF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5C2505"/>
  <w15:chartTrackingRefBased/>
  <w15:docId w15:val="{4E0FBB54-62F2-474F-A164-1396D7D43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x2cell">
    <w:name w:val="2x2:cell"/>
    <w:pPr>
      <w:tabs>
        <w:tab w:val="left" w:pos="0"/>
        <w:tab w:val="left" w:pos="720"/>
        <w:tab w:val="left" w:pos="1440"/>
        <w:tab w:val="left" w:pos="2160"/>
      </w:tabs>
      <w:spacing w:after="38" w:line="189" w:lineRule="atLeast"/>
    </w:pPr>
    <w:rPr>
      <w:rFonts w:ascii="Times" w:hAnsi="Times"/>
      <w:snapToGrid w:val="0"/>
      <w:sz w:val="17"/>
      <w:lang w:val="en-GB" w:eastAsia="en-US"/>
    </w:rPr>
  </w:style>
  <w:style w:type="paragraph" w:customStyle="1" w:styleId="act-e">
    <w:name w:val="act-e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lang w:val="en-GB" w:eastAsia="en-US"/>
    </w:rPr>
  </w:style>
  <w:style w:type="paragraph" w:customStyle="1" w:styleId="footnote-e">
    <w:name w:val="footnote-e"/>
    <w:pPr>
      <w:tabs>
        <w:tab w:val="left" w:pos="0"/>
      </w:tabs>
      <w:spacing w:before="111" w:line="209" w:lineRule="exact"/>
      <w:jc w:val="right"/>
    </w:pPr>
    <w:rPr>
      <w:snapToGrid w:val="0"/>
      <w:lang w:val="en-GB" w:eastAsia="en-US"/>
    </w:rPr>
  </w:style>
  <w:style w:type="paragraph" w:customStyle="1" w:styleId="form-e">
    <w:name w:val="form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subject-e">
    <w:name w:val="subject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zc-i-ul-e">
    <w:name w:val="zc-i-u/l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en-GB" w:eastAsia="en-US"/>
    </w:rPr>
  </w:style>
  <w:style w:type="paragraph" w:customStyle="1" w:styleId="zparawtab-e">
    <w:name w:val="zparawtab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character" w:styleId="CommentReference">
    <w:name w:val="annotation reference"/>
    <w:uiPriority w:val="99"/>
    <w:semiHidden/>
    <w:unhideWhenUsed/>
    <w:rsid w:val="000A49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497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0A497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497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A497B"/>
    <w:rPr>
      <w:b/>
      <w:bCs/>
      <w:lang w:eastAsia="en-US"/>
    </w:rPr>
  </w:style>
  <w:style w:type="paragraph" w:styleId="Revision">
    <w:name w:val="Revision"/>
    <w:hidden/>
    <w:uiPriority w:val="99"/>
    <w:semiHidden/>
    <w:rsid w:val="00C946EE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C45D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5D19"/>
    <w:rPr>
      <w:color w:val="605E5C"/>
      <w:shd w:val="clear" w:color="auto" w:fill="E1DFDD"/>
    </w:rPr>
  </w:style>
  <w:style w:type="paragraph" w:customStyle="1" w:styleId="NormalBody">
    <w:name w:val="Normal Body"/>
    <w:basedOn w:val="zparawtab-e"/>
    <w:qFormat/>
    <w:rsid w:val="00786CD8"/>
    <w:pPr>
      <w:tabs>
        <w:tab w:val="left" w:leader="dot" w:pos="5978"/>
      </w:tabs>
      <w:spacing w:after="319" w:line="240" w:lineRule="auto"/>
    </w:pPr>
    <w:rPr>
      <w:sz w:val="24"/>
      <w:szCs w:val="24"/>
    </w:rPr>
  </w:style>
  <w:style w:type="paragraph" w:customStyle="1" w:styleId="FormTitle">
    <w:name w:val="Form Title"/>
    <w:basedOn w:val="subject-e"/>
    <w:qFormat/>
    <w:rsid w:val="00786CD8"/>
    <w:pPr>
      <w:tabs>
        <w:tab w:val="clear" w:pos="0"/>
      </w:tabs>
      <w:spacing w:line="240" w:lineRule="auto"/>
    </w:pPr>
    <w:rPr>
      <w:sz w:val="24"/>
      <w:szCs w:val="24"/>
    </w:rPr>
  </w:style>
  <w:style w:type="paragraph" w:customStyle="1" w:styleId="InstructionsHeading">
    <w:name w:val="Instructions Heading"/>
    <w:basedOn w:val="footnote-e"/>
    <w:qFormat/>
    <w:rsid w:val="00786CD8"/>
    <w:pPr>
      <w:spacing w:line="240" w:lineRule="auto"/>
      <w:jc w:val="left"/>
    </w:pPr>
    <w:rPr>
      <w:b/>
      <w:bCs/>
      <w:sz w:val="32"/>
      <w:szCs w:val="32"/>
    </w:rPr>
  </w:style>
  <w:style w:type="paragraph" w:customStyle="1" w:styleId="Bullet">
    <w:name w:val="Bullet"/>
    <w:basedOn w:val="footnote-e"/>
    <w:qFormat/>
    <w:rsid w:val="00786CD8"/>
    <w:pPr>
      <w:numPr>
        <w:numId w:val="1"/>
      </w:numPr>
      <w:spacing w:line="240" w:lineRule="auto"/>
      <w:jc w:val="left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A5F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F4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A5F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F4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ontario.ca/page/find-lawyer-or-paralega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71BA5AC280A49801694DDEBAC5BDF" ma:contentTypeVersion="14" ma:contentTypeDescription="Create a new document." ma:contentTypeScope="" ma:versionID="d7d2c6ff59867b59a0071d7537d23e03">
  <xsd:schema xmlns:xsd="http://www.w3.org/2001/XMLSchema" xmlns:xs="http://www.w3.org/2001/XMLSchema" xmlns:p="http://schemas.microsoft.com/office/2006/metadata/properties" xmlns:ns3="4728da9b-c984-4438-ba6b-dfa6b2b20667" xmlns:ns4="df78f06a-cac6-4040-86c6-a4af9bb69946" targetNamespace="http://schemas.microsoft.com/office/2006/metadata/properties" ma:root="true" ma:fieldsID="3575090913e4235be83d83bd25cc0c83" ns3:_="" ns4:_="">
    <xsd:import namespace="4728da9b-c984-4438-ba6b-dfa6b2b20667"/>
    <xsd:import namespace="df78f06a-cac6-4040-86c6-a4af9bb699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8da9b-c984-4438-ba6b-dfa6b2b206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8f06a-cac6-4040-86c6-a4af9bb6994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28da9b-c984-4438-ba6b-dfa6b2b20667" xsi:nil="true"/>
  </documentManagement>
</p:properties>
</file>

<file path=customXml/itemProps1.xml><?xml version="1.0" encoding="utf-8"?>
<ds:datastoreItem xmlns:ds="http://schemas.openxmlformats.org/officeDocument/2006/customXml" ds:itemID="{91F45F24-E13F-47F0-9C4B-65488C2090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197026-54D9-447F-8567-20183ABFD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8da9b-c984-4438-ba6b-dfa6b2b20667"/>
    <ds:schemaRef ds:uri="df78f06a-cac6-4040-86c6-a4af9bb699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E13CF8-EDE9-459C-8C7F-A4836E57602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f78f06a-cac6-4040-86c6-a4af9bb69946"/>
    <ds:schemaRef ds:uri="4728da9b-c984-4438-ba6b-dfa6b2b20667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757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RCP-E 2.2D</vt:lpstr>
    </vt:vector>
  </TitlesOfParts>
  <Manager/>
  <Company>MAG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RCP-E 2.2D</dc:title>
  <dc:subject>Response From Potential Subject of Vexatious Litigant Order</dc:subject>
  <dc:creator>Rottman, M.</dc:creator>
  <cp:keywords/>
  <dc:description/>
  <cp:lastModifiedBy>Rottman, Mike (MAG)</cp:lastModifiedBy>
  <cp:revision>8</cp:revision>
  <cp:lastPrinted>2024-05-03T12:06:00Z</cp:lastPrinted>
  <dcterms:created xsi:type="dcterms:W3CDTF">2024-06-04T17:56:00Z</dcterms:created>
  <dcterms:modified xsi:type="dcterms:W3CDTF">2024-07-09T13:40:00Z</dcterms:modified>
  <cp:category>Rules of Civil Procedure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2021-11-10T18:02:54Z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14b81e4c-733f-4787-8c91-05617c33a0a5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0x01010061771BA5AC280A49801694DDEBAC5BDF</vt:lpwstr>
  </property>
</Properties>
</file>