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37FC" w14:textId="77777777" w:rsidR="00D4174A" w:rsidRPr="00016716" w:rsidRDefault="00D4174A" w:rsidP="00016716">
      <w:pPr>
        <w:pStyle w:val="NormalBody"/>
        <w:jc w:val="right"/>
        <w:rPr>
          <w:i/>
          <w:iCs/>
        </w:rPr>
      </w:pPr>
      <w:r w:rsidRPr="00016716">
        <w:rPr>
          <w:i/>
          <w:iCs/>
        </w:rPr>
        <w:t>(Court file no.)</w:t>
      </w:r>
    </w:p>
    <w:p w14:paraId="5B36AA23" w14:textId="0C7F2CC3" w:rsidR="005E2CEB" w:rsidRPr="003933AD" w:rsidRDefault="005E2CEB" w:rsidP="003933AD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3933AD">
        <w:rPr>
          <w:sz w:val="24"/>
          <w:szCs w:val="24"/>
        </w:rPr>
        <w:t>Form 2.</w:t>
      </w:r>
      <w:r w:rsidR="00060DA0" w:rsidRPr="003933AD">
        <w:rPr>
          <w:sz w:val="24"/>
          <w:szCs w:val="24"/>
        </w:rPr>
        <w:t>2C</w:t>
      </w:r>
    </w:p>
    <w:p w14:paraId="5B29F3E1" w14:textId="77777777" w:rsidR="005E2CEB" w:rsidRPr="003933AD" w:rsidRDefault="005E2CEB" w:rsidP="003933AD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3933AD">
        <w:rPr>
          <w:sz w:val="24"/>
          <w:szCs w:val="24"/>
        </w:rPr>
        <w:t>Courts of Justice Act</w:t>
      </w:r>
    </w:p>
    <w:p w14:paraId="737DDF8B" w14:textId="424E378B" w:rsidR="005E2CEB" w:rsidRPr="003933AD" w:rsidRDefault="00060DA0" w:rsidP="00016716">
      <w:pPr>
        <w:pStyle w:val="FormTitle"/>
      </w:pPr>
      <w:r w:rsidRPr="003933AD">
        <w:t xml:space="preserve">REGISTRAR’S </w:t>
      </w:r>
      <w:r w:rsidR="005E2CEB" w:rsidRPr="003933AD">
        <w:t xml:space="preserve">NOTICE </w:t>
      </w:r>
      <w:r w:rsidR="00E32558" w:rsidRPr="003933AD">
        <w:t>PROPOSING CONSIDERATION OF VEXATIOUS LITIGANT ORDER</w:t>
      </w:r>
    </w:p>
    <w:p w14:paraId="3EF5CB69" w14:textId="77777777" w:rsidR="005E2CEB" w:rsidRPr="00016716" w:rsidRDefault="005E2CEB" w:rsidP="00016716">
      <w:pPr>
        <w:pStyle w:val="NormalBody"/>
        <w:spacing w:before="319"/>
        <w:jc w:val="center"/>
        <w:rPr>
          <w:i/>
          <w:iCs/>
        </w:rPr>
      </w:pPr>
      <w:r w:rsidRPr="00016716">
        <w:rPr>
          <w:i/>
          <w:iCs/>
        </w:rPr>
        <w:t>(General heading)</w:t>
      </w:r>
    </w:p>
    <w:p w14:paraId="768954FB" w14:textId="5A15F54D" w:rsidR="005E2CEB" w:rsidRPr="003933AD" w:rsidRDefault="00E32558" w:rsidP="00016716">
      <w:pPr>
        <w:pStyle w:val="FormTitle"/>
        <w:spacing w:after="360"/>
      </w:pPr>
      <w:r w:rsidRPr="003933AD">
        <w:t>REGISTRAR’S NOTICE PROPOSING CONSID</w:t>
      </w:r>
      <w:r w:rsidR="009D7A74" w:rsidRPr="003933AD">
        <w:t>ERATION OF VEXATIOUS LITIGANT ORD</w:t>
      </w:r>
      <w:r w:rsidR="007269A7" w:rsidRPr="003933AD">
        <w:t>ER</w:t>
      </w:r>
    </w:p>
    <w:p w14:paraId="59179CE6" w14:textId="1E7B16E4" w:rsidR="00663624" w:rsidRDefault="005E2CEB" w:rsidP="00016716">
      <w:pPr>
        <w:pStyle w:val="NormalBody"/>
      </w:pPr>
      <w:r w:rsidRPr="003933AD">
        <w:tab/>
      </w:r>
      <w:r w:rsidRPr="003933AD">
        <w:tab/>
      </w:r>
      <w:r w:rsidR="00250E0E" w:rsidRPr="003933AD">
        <w:t>I HAVE BEEN DIRECTED</w:t>
      </w:r>
      <w:r w:rsidR="00327966" w:rsidRPr="003933AD">
        <w:t xml:space="preserve"> to </w:t>
      </w:r>
      <w:r w:rsidR="00167C2B" w:rsidRPr="003933AD">
        <w:t xml:space="preserve">prepare this notice by Justice </w:t>
      </w:r>
      <w:r w:rsidR="00167C2B" w:rsidRPr="00BB3246">
        <w:rPr>
          <w:i/>
          <w:iCs/>
        </w:rPr>
        <w:t>(i</w:t>
      </w:r>
      <w:r w:rsidR="00066196" w:rsidRPr="00BB3246">
        <w:rPr>
          <w:i/>
          <w:iCs/>
        </w:rPr>
        <w:t>dentify</w:t>
      </w:r>
      <w:r w:rsidR="00167C2B" w:rsidRPr="00BB3246">
        <w:rPr>
          <w:i/>
          <w:iCs/>
        </w:rPr>
        <w:t xml:space="preserve"> proposing judge)</w:t>
      </w:r>
      <w:r w:rsidR="00167C2B" w:rsidRPr="00BB3246">
        <w:t xml:space="preserve"> </w:t>
      </w:r>
      <w:r w:rsidR="00066196" w:rsidRPr="00BB3246">
        <w:t>proposing that t</w:t>
      </w:r>
      <w:r w:rsidRPr="00BB3246">
        <w:t>he court consider making a</w:t>
      </w:r>
      <w:r w:rsidR="00C80D9F" w:rsidRPr="00BB3246">
        <w:t xml:space="preserve"> </w:t>
      </w:r>
      <w:r w:rsidR="002562AC" w:rsidRPr="00BB3246">
        <w:t xml:space="preserve">vexatious litigant order </w:t>
      </w:r>
      <w:r w:rsidR="00066196" w:rsidRPr="00BB3246">
        <w:t xml:space="preserve">against </w:t>
      </w:r>
      <w:r w:rsidR="00066196" w:rsidRPr="00AE05C9">
        <w:rPr>
          <w:i/>
          <w:iCs/>
        </w:rPr>
        <w:t>(</w:t>
      </w:r>
      <w:r w:rsidR="00066196" w:rsidRPr="00BB3246">
        <w:rPr>
          <w:i/>
          <w:iCs/>
        </w:rPr>
        <w:t xml:space="preserve">identify </w:t>
      </w:r>
      <w:r w:rsidR="002834BE">
        <w:rPr>
          <w:i/>
          <w:iCs/>
        </w:rPr>
        <w:t>person who is the potential</w:t>
      </w:r>
      <w:r w:rsidR="00066196" w:rsidRPr="00BB3246">
        <w:rPr>
          <w:i/>
          <w:iCs/>
        </w:rPr>
        <w:t xml:space="preserve"> subject of </w:t>
      </w:r>
      <w:r w:rsidR="002834BE">
        <w:rPr>
          <w:i/>
          <w:iCs/>
        </w:rPr>
        <w:t xml:space="preserve">a </w:t>
      </w:r>
      <w:r w:rsidR="00066196" w:rsidRPr="00BB3246">
        <w:rPr>
          <w:i/>
          <w:iCs/>
        </w:rPr>
        <w:t>vexatious litigant order</w:t>
      </w:r>
      <w:r w:rsidR="00066196" w:rsidRPr="00AE05C9">
        <w:rPr>
          <w:i/>
          <w:iCs/>
        </w:rPr>
        <w:t>)</w:t>
      </w:r>
      <w:r w:rsidR="00066196" w:rsidRPr="00BB3246">
        <w:t xml:space="preserve"> </w:t>
      </w:r>
      <w:r w:rsidR="002562AC" w:rsidRPr="00BB3246">
        <w:t>under subsection 140 (1)</w:t>
      </w:r>
      <w:r w:rsidR="00A62775" w:rsidRPr="00BB3246">
        <w:t xml:space="preserve"> of the </w:t>
      </w:r>
      <w:r w:rsidR="00A62775" w:rsidRPr="00407CD6">
        <w:rPr>
          <w:i/>
          <w:iCs/>
        </w:rPr>
        <w:t xml:space="preserve">Courts of </w:t>
      </w:r>
      <w:r w:rsidR="00A62775" w:rsidRPr="00B03BBF">
        <w:rPr>
          <w:i/>
          <w:iCs/>
        </w:rPr>
        <w:t>Justice Act</w:t>
      </w:r>
      <w:r w:rsidR="000858A9" w:rsidRPr="00B03BBF">
        <w:t xml:space="preserve">. </w:t>
      </w:r>
      <w:r w:rsidR="00663624">
        <w:t xml:space="preserve">If granted, the order may restrict </w:t>
      </w:r>
      <w:r w:rsidR="00AE05C9">
        <w:t xml:space="preserve">the ability of </w:t>
      </w:r>
      <w:r w:rsidR="00663624" w:rsidRPr="00AE05C9">
        <w:rPr>
          <w:i/>
          <w:iCs/>
        </w:rPr>
        <w:t>(</w:t>
      </w:r>
      <w:r w:rsidR="00663624" w:rsidRPr="003A6BF6">
        <w:rPr>
          <w:i/>
          <w:iCs/>
        </w:rPr>
        <w:t>identify</w:t>
      </w:r>
      <w:r w:rsidR="002834BE">
        <w:rPr>
          <w:i/>
          <w:iCs/>
        </w:rPr>
        <w:t xml:space="preserve"> person who is the potential</w:t>
      </w:r>
      <w:r w:rsidR="00663624" w:rsidRPr="003A6BF6">
        <w:rPr>
          <w:i/>
          <w:iCs/>
        </w:rPr>
        <w:t xml:space="preserve"> subject of</w:t>
      </w:r>
      <w:r w:rsidR="002834BE">
        <w:rPr>
          <w:i/>
          <w:iCs/>
        </w:rPr>
        <w:t xml:space="preserve"> a</w:t>
      </w:r>
      <w:r w:rsidR="00663624" w:rsidRPr="003A6BF6">
        <w:rPr>
          <w:i/>
          <w:iCs/>
        </w:rPr>
        <w:t xml:space="preserve"> vexatious litigant order</w:t>
      </w:r>
      <w:r w:rsidR="00663624" w:rsidRPr="00AE05C9">
        <w:rPr>
          <w:i/>
          <w:iCs/>
        </w:rPr>
        <w:t>)</w:t>
      </w:r>
      <w:r w:rsidR="00663624">
        <w:t xml:space="preserve"> to commence or continue court proceedings in any court in Ontario.</w:t>
      </w:r>
    </w:p>
    <w:p w14:paraId="79EB1990" w14:textId="24EF2379" w:rsidR="00663624" w:rsidRDefault="00663624" w:rsidP="00016716">
      <w:pPr>
        <w:pStyle w:val="NormalBody"/>
      </w:pPr>
      <w:r w:rsidRPr="004535F8">
        <w:tab/>
      </w:r>
      <w:r>
        <w:tab/>
      </w:r>
      <w:r w:rsidRPr="004535F8">
        <w:t xml:space="preserve">IF </w:t>
      </w:r>
      <w:r>
        <w:t>YOU ARE THE</w:t>
      </w:r>
      <w:r w:rsidR="002834BE">
        <w:t xml:space="preserve"> PERSON WHO IS THE POTENTIAL</w:t>
      </w:r>
      <w:r>
        <w:t xml:space="preserve"> SUBJECT OF </w:t>
      </w:r>
      <w:r w:rsidR="002834BE">
        <w:t>A</w:t>
      </w:r>
      <w:r>
        <w:t xml:space="preserve"> VEXATIOUS LITIGANT ORDER AND YOU </w:t>
      </w:r>
      <w:r w:rsidRPr="004535F8">
        <w:t xml:space="preserve">WISH TO </w:t>
      </w:r>
      <w:r w:rsidR="005409F3">
        <w:t>RESPOND TO</w:t>
      </w:r>
      <w:r w:rsidRPr="004535F8">
        <w:t xml:space="preserve"> </w:t>
      </w:r>
      <w:r w:rsidR="00942063">
        <w:t>THIS NOTICE</w:t>
      </w:r>
      <w:r w:rsidRPr="004535F8">
        <w:t xml:space="preserve">, you or an Ontario lawyer acting for you </w:t>
      </w:r>
      <w:r>
        <w:t>must</w:t>
      </w:r>
      <w:r w:rsidRPr="004535F8">
        <w:t xml:space="preserve"> prepare a </w:t>
      </w:r>
      <w:r>
        <w:t>response</w:t>
      </w:r>
      <w:r w:rsidRPr="004535F8">
        <w:t xml:space="preserve"> in Form </w:t>
      </w:r>
      <w:r>
        <w:t>2.2D</w:t>
      </w:r>
      <w:r w:rsidRPr="004535F8">
        <w:t xml:space="preserve"> </w:t>
      </w:r>
      <w:r w:rsidR="009B27A5">
        <w:t xml:space="preserve">(found on </w:t>
      </w:r>
      <w:hyperlink r:id="rId10" w:history="1">
        <w:r w:rsidR="009B27A5" w:rsidRPr="00782948">
          <w:rPr>
            <w:rStyle w:val="Hyperlink"/>
          </w:rPr>
          <w:t>https://ontariocourtforms.on.ca/en/rules-of-civil-procedure-forms/</w:t>
        </w:r>
      </w:hyperlink>
      <w:r w:rsidR="009B27A5">
        <w:t xml:space="preserve">) </w:t>
      </w:r>
      <w:r w:rsidRPr="004535F8">
        <w:t xml:space="preserve">prescribed by the </w:t>
      </w:r>
      <w:r w:rsidRPr="009B27A5">
        <w:rPr>
          <w:i/>
          <w:iCs/>
        </w:rPr>
        <w:t>Rules of Civil Procedure</w:t>
      </w:r>
      <w:r w:rsidRPr="004535F8">
        <w:t xml:space="preserve">, serve it on </w:t>
      </w:r>
      <w:r w:rsidR="004736D8">
        <w:t xml:space="preserve">the lawyers of </w:t>
      </w:r>
      <w:r>
        <w:t xml:space="preserve">all </w:t>
      </w:r>
      <w:r w:rsidR="00F6745B">
        <w:t xml:space="preserve">the parties and </w:t>
      </w:r>
      <w:r w:rsidR="00BE63A8">
        <w:t xml:space="preserve">the lawyers of </w:t>
      </w:r>
      <w:r w:rsidR="003263F6">
        <w:t>all</w:t>
      </w:r>
      <w:r>
        <w:t xml:space="preserve"> </w:t>
      </w:r>
      <w:r w:rsidR="00BE63A8">
        <w:t xml:space="preserve">other </w:t>
      </w:r>
      <w:r>
        <w:t>persons</w:t>
      </w:r>
      <w:r w:rsidR="003263F6">
        <w:t xml:space="preserve"> named</w:t>
      </w:r>
      <w:r w:rsidR="00066870">
        <w:t xml:space="preserve"> in the list of ongoing proceedings </w:t>
      </w:r>
      <w:r w:rsidR="00BE63A8">
        <w:t>i</w:t>
      </w:r>
      <w:r w:rsidR="00066870">
        <w:t>n this notice (</w:t>
      </w:r>
      <w:r w:rsidR="00BE63A8">
        <w:t>the</w:t>
      </w:r>
      <w:r w:rsidR="00066870">
        <w:t xml:space="preserve"> “notified person</w:t>
      </w:r>
      <w:r w:rsidR="00BE63A8">
        <w:t>s</w:t>
      </w:r>
      <w:r w:rsidR="00066870">
        <w:t>”</w:t>
      </w:r>
      <w:r w:rsidR="00BE63A8">
        <w:t xml:space="preserve"> as defined in Rule 2.2</w:t>
      </w:r>
      <w:r w:rsidR="00066870">
        <w:t>)</w:t>
      </w:r>
      <w:r w:rsidR="00864C36">
        <w:t xml:space="preserve"> or</w:t>
      </w:r>
      <w:r w:rsidRPr="004535F8">
        <w:t>,</w:t>
      </w:r>
      <w:r w:rsidR="00864C36">
        <w:t xml:space="preserve"> if a</w:t>
      </w:r>
      <w:r w:rsidR="0018149F">
        <w:t>ny</w:t>
      </w:r>
      <w:r w:rsidR="00864C36">
        <w:t xml:space="preserve"> p</w:t>
      </w:r>
      <w:r w:rsidR="00F2381E">
        <w:t>arty or</w:t>
      </w:r>
      <w:r w:rsidR="007E473B">
        <w:t xml:space="preserve"> notified</w:t>
      </w:r>
      <w:r w:rsidR="00F2381E">
        <w:t xml:space="preserve"> person does not have a lawyer, serve it on the party or </w:t>
      </w:r>
      <w:r w:rsidR="007E473B">
        <w:t xml:space="preserve">notified </w:t>
      </w:r>
      <w:r w:rsidR="00F2381E">
        <w:t>person themselves</w:t>
      </w:r>
      <w:r w:rsidR="00C162D1">
        <w:t>,</w:t>
      </w:r>
      <w:r w:rsidRPr="004535F8">
        <w:t xml:space="preserve"> and file it, with proof of service, in this court office.</w:t>
      </w:r>
      <w:r>
        <w:t xml:space="preserve"> Your response in Form 2.2D must be served and filed with proof of service within 20 days after you receive this notice. </w:t>
      </w:r>
      <w:r w:rsidR="00DE58D7">
        <w:t xml:space="preserve">If you do not file a response, a judge may make an order against you without your participation. </w:t>
      </w:r>
      <w:r>
        <w:t xml:space="preserve">See Rule 2.2 of the </w:t>
      </w:r>
      <w:r w:rsidRPr="009B27A5">
        <w:rPr>
          <w:i/>
          <w:iCs/>
        </w:rPr>
        <w:t>Rules of Civil Procedure</w:t>
      </w:r>
      <w:r>
        <w:t xml:space="preserve"> for details about the </w:t>
      </w:r>
      <w:r w:rsidR="005866F1">
        <w:t xml:space="preserve">applicable </w:t>
      </w:r>
      <w:r>
        <w:t>procedures.</w:t>
      </w:r>
    </w:p>
    <w:p w14:paraId="0B2F9938" w14:textId="4D4E1049" w:rsidR="00663624" w:rsidRPr="00BF56BD" w:rsidRDefault="00663624" w:rsidP="00016716">
      <w:pPr>
        <w:pStyle w:val="SectionHeading"/>
      </w:pPr>
      <w:r w:rsidRPr="00BF56BD">
        <w:t xml:space="preserve">TO ALL OTHER PARTIES AND </w:t>
      </w:r>
      <w:r w:rsidR="002034B9">
        <w:t xml:space="preserve">NOTIFIED </w:t>
      </w:r>
      <w:r w:rsidRPr="00BF56BD">
        <w:t xml:space="preserve">PERSONS </w:t>
      </w:r>
    </w:p>
    <w:p w14:paraId="44210604" w14:textId="6F422027" w:rsidR="00663624" w:rsidRPr="00407CD6" w:rsidRDefault="00663624" w:rsidP="00016716">
      <w:pPr>
        <w:pStyle w:val="NormalBody"/>
      </w:pPr>
      <w:r w:rsidRPr="004535F8">
        <w:tab/>
      </w:r>
      <w:r w:rsidRPr="004535F8">
        <w:tab/>
        <w:t xml:space="preserve">IF YOU WISH TO </w:t>
      </w:r>
      <w:r>
        <w:t>REPLY TO</w:t>
      </w:r>
      <w:r w:rsidRPr="004535F8">
        <w:t xml:space="preserve"> THIS </w:t>
      </w:r>
      <w:r>
        <w:t xml:space="preserve">NOTICE OR ANY RESPONSE MADE BY </w:t>
      </w:r>
      <w:r w:rsidRPr="00BF56BD">
        <w:rPr>
          <w:i/>
          <w:iCs/>
        </w:rPr>
        <w:t>(</w:t>
      </w:r>
      <w:r w:rsidRPr="003A6BF6">
        <w:rPr>
          <w:i/>
          <w:iCs/>
        </w:rPr>
        <w:t xml:space="preserve">identify </w:t>
      </w:r>
      <w:r w:rsidR="00F87628">
        <w:rPr>
          <w:i/>
          <w:iCs/>
        </w:rPr>
        <w:t>person who is the potential</w:t>
      </w:r>
      <w:r w:rsidRPr="003A6BF6">
        <w:rPr>
          <w:i/>
          <w:iCs/>
        </w:rPr>
        <w:t xml:space="preserve"> subject of</w:t>
      </w:r>
      <w:r w:rsidR="00F87628">
        <w:rPr>
          <w:i/>
          <w:iCs/>
        </w:rPr>
        <w:t xml:space="preserve"> a</w:t>
      </w:r>
      <w:r w:rsidRPr="003A6BF6">
        <w:rPr>
          <w:i/>
          <w:iCs/>
        </w:rPr>
        <w:t xml:space="preserve"> vexatious litigant order</w:t>
      </w:r>
      <w:r w:rsidRPr="00BF56BD">
        <w:rPr>
          <w:i/>
          <w:iCs/>
        </w:rPr>
        <w:t>)</w:t>
      </w:r>
      <w:r w:rsidRPr="004535F8">
        <w:t>, you or an Ontario lawyer acting for you m</w:t>
      </w:r>
      <w:r>
        <w:t>ay</w:t>
      </w:r>
      <w:r w:rsidRPr="004535F8">
        <w:t xml:space="preserve"> prepare a </w:t>
      </w:r>
      <w:r>
        <w:t>reply</w:t>
      </w:r>
      <w:r w:rsidRPr="004535F8">
        <w:t xml:space="preserve"> in Form </w:t>
      </w:r>
      <w:r>
        <w:t>2.2E</w:t>
      </w:r>
      <w:r w:rsidRPr="004535F8">
        <w:t xml:space="preserve"> </w:t>
      </w:r>
      <w:r w:rsidR="009B27A5">
        <w:t xml:space="preserve">(found on </w:t>
      </w:r>
      <w:hyperlink r:id="rId11" w:history="1">
        <w:r w:rsidR="009B27A5" w:rsidRPr="00782948">
          <w:rPr>
            <w:rStyle w:val="Hyperlink"/>
          </w:rPr>
          <w:t>https://ontariocourtforms.on.ca/en/rules-of-civil-procedure-forms/</w:t>
        </w:r>
      </w:hyperlink>
      <w:r w:rsidR="009B27A5">
        <w:t xml:space="preserve">) </w:t>
      </w:r>
      <w:r w:rsidRPr="004535F8">
        <w:t xml:space="preserve">prescribed by the </w:t>
      </w:r>
      <w:r w:rsidRPr="009B27A5">
        <w:rPr>
          <w:i/>
          <w:iCs/>
        </w:rPr>
        <w:t>Rules of Civil Procedure</w:t>
      </w:r>
      <w:r w:rsidRPr="004535F8">
        <w:t xml:space="preserve">, serve it on </w:t>
      </w:r>
      <w:r>
        <w:t xml:space="preserve">the lawyers for all the parties and </w:t>
      </w:r>
      <w:r w:rsidR="00FF2FE6">
        <w:t>all</w:t>
      </w:r>
      <w:r>
        <w:t xml:space="preserve"> </w:t>
      </w:r>
      <w:r w:rsidR="006D67B7">
        <w:t xml:space="preserve">other </w:t>
      </w:r>
      <w:r>
        <w:t xml:space="preserve">persons named in </w:t>
      </w:r>
      <w:r w:rsidR="00145F77">
        <w:t xml:space="preserve">the list of ongoing proceedings </w:t>
      </w:r>
      <w:r w:rsidR="002F2D0B">
        <w:t xml:space="preserve">in </w:t>
      </w:r>
      <w:r w:rsidR="00145F77">
        <w:t>this notice (</w:t>
      </w:r>
      <w:r w:rsidR="002F2D0B">
        <w:t>the</w:t>
      </w:r>
      <w:r w:rsidR="00145F77">
        <w:t xml:space="preserve"> “notified person</w:t>
      </w:r>
      <w:r w:rsidR="002F2D0B">
        <w:t>s</w:t>
      </w:r>
      <w:r w:rsidR="00145F77">
        <w:t>”</w:t>
      </w:r>
      <w:r w:rsidR="002F2D0B">
        <w:t xml:space="preserve"> as defined in Rule 2.2</w:t>
      </w:r>
      <w:r w:rsidR="00145F77">
        <w:t xml:space="preserve">) </w:t>
      </w:r>
      <w:r w:rsidRPr="004535F8">
        <w:t xml:space="preserve">or, </w:t>
      </w:r>
      <w:r>
        <w:t>if</w:t>
      </w:r>
      <w:r w:rsidRPr="004535F8">
        <w:t xml:space="preserve"> </w:t>
      </w:r>
      <w:r>
        <w:t>a</w:t>
      </w:r>
      <w:r w:rsidR="006D67B7">
        <w:t>ny</w:t>
      </w:r>
      <w:r>
        <w:t xml:space="preserve"> party or </w:t>
      </w:r>
      <w:r w:rsidR="00F6062F">
        <w:t xml:space="preserve">notified </w:t>
      </w:r>
      <w:r>
        <w:t>person does not</w:t>
      </w:r>
      <w:r w:rsidRPr="004535F8">
        <w:t xml:space="preserve"> have a lawyer, serve it on </w:t>
      </w:r>
      <w:r>
        <w:t xml:space="preserve">the party or </w:t>
      </w:r>
      <w:r w:rsidR="00F6062F">
        <w:t xml:space="preserve">notified </w:t>
      </w:r>
      <w:r>
        <w:t>person themselves</w:t>
      </w:r>
      <w:r w:rsidRPr="004535F8">
        <w:t xml:space="preserve">, and file it, with proof of service, in </w:t>
      </w:r>
      <w:r w:rsidR="00C162D1">
        <w:t>this</w:t>
      </w:r>
      <w:r w:rsidRPr="004535F8">
        <w:t xml:space="preserve"> court office.</w:t>
      </w:r>
      <w:r>
        <w:t xml:space="preserve"> </w:t>
      </w:r>
      <w:r w:rsidR="001C1FFD">
        <w:t xml:space="preserve">If the person who is the potential subject of a vexatious litigant order serves a response on you, </w:t>
      </w:r>
      <w:r w:rsidR="00C83D26">
        <w:t>y</w:t>
      </w:r>
      <w:r>
        <w:t xml:space="preserve">our reply in Form 2.2E must be served and filed with proof of service within 20 days after </w:t>
      </w:r>
      <w:r w:rsidR="00E555DA">
        <w:t>you are served.</w:t>
      </w:r>
      <w:r>
        <w:t xml:space="preserve"> </w:t>
      </w:r>
      <w:r w:rsidR="002B667C">
        <w:t xml:space="preserve">If </w:t>
      </w:r>
      <w:r w:rsidR="0026757B">
        <w:t>you are not served with a response</w:t>
      </w:r>
      <w:r>
        <w:t xml:space="preserve">, </w:t>
      </w:r>
      <w:r w:rsidR="0026757B">
        <w:t xml:space="preserve">your reply in Form 2.2E must be served and filed with proof of service </w:t>
      </w:r>
      <w:r>
        <w:t xml:space="preserve">within 30 days after </w:t>
      </w:r>
      <w:r w:rsidR="009B27A5">
        <w:t>you receive</w:t>
      </w:r>
      <w:r>
        <w:t xml:space="preserve"> th</w:t>
      </w:r>
      <w:r w:rsidR="00C162D1">
        <w:t>is</w:t>
      </w:r>
      <w:r>
        <w:t xml:space="preserve"> notice.</w:t>
      </w:r>
      <w:r w:rsidRPr="00D66463">
        <w:t xml:space="preserve"> </w:t>
      </w:r>
      <w:r w:rsidR="00B21684">
        <w:t xml:space="preserve">You are not required to make a reply in this </w:t>
      </w:r>
      <w:r w:rsidR="00D37140">
        <w:t>matter</w:t>
      </w:r>
      <w:r w:rsidR="00B21684">
        <w:t xml:space="preserve">. </w:t>
      </w:r>
      <w:r w:rsidR="00E0199B">
        <w:t>However, i</w:t>
      </w:r>
      <w:r w:rsidR="00B21684">
        <w:t>f you choose not to reply, you will</w:t>
      </w:r>
      <w:r w:rsidR="00B21684" w:rsidRPr="00A63B76">
        <w:t xml:space="preserve"> not be entitled to appear at </w:t>
      </w:r>
      <w:r w:rsidR="00B21684">
        <w:t>a</w:t>
      </w:r>
      <w:r w:rsidR="00B21684" w:rsidRPr="00A63B76">
        <w:t xml:space="preserve"> hearing </w:t>
      </w:r>
      <w:r w:rsidR="00B21684">
        <w:t xml:space="preserve">in the matter </w:t>
      </w:r>
      <w:r w:rsidR="00B21684" w:rsidRPr="00A63B76">
        <w:t>without leave of a judge.</w:t>
      </w:r>
      <w:r w:rsidR="00B21684">
        <w:t xml:space="preserve"> </w:t>
      </w:r>
      <w:r w:rsidR="00E0199B">
        <w:t>If a judge ultimately makes a vexatious litigant order in this matter</w:t>
      </w:r>
      <w:r w:rsidR="00B21684">
        <w:t>, you will be</w:t>
      </w:r>
      <w:r w:rsidR="00B21684" w:rsidRPr="00A63B76">
        <w:t xml:space="preserve"> entitled to receive a copy of the </w:t>
      </w:r>
      <w:r w:rsidR="00CC4CF7">
        <w:t xml:space="preserve">order, </w:t>
      </w:r>
      <w:proofErr w:type="gramStart"/>
      <w:r w:rsidR="00CC4CF7">
        <w:t>decision</w:t>
      </w:r>
      <w:proofErr w:type="gramEnd"/>
      <w:r w:rsidR="00CC4CF7">
        <w:t xml:space="preserve"> and </w:t>
      </w:r>
      <w:r w:rsidR="00B21684" w:rsidRPr="00A63B76">
        <w:t xml:space="preserve">reasons, </w:t>
      </w:r>
      <w:r w:rsidR="00E0199B">
        <w:t>regardless of whether you file a reply</w:t>
      </w:r>
      <w:r w:rsidR="00B21684">
        <w:t xml:space="preserve">. </w:t>
      </w:r>
      <w:r>
        <w:t xml:space="preserve">See Rule 2.2 of the </w:t>
      </w:r>
      <w:r w:rsidRPr="009B27A5">
        <w:rPr>
          <w:i/>
          <w:iCs/>
        </w:rPr>
        <w:t>Rules of Civil Procedure</w:t>
      </w:r>
      <w:r>
        <w:t xml:space="preserve"> for details about the </w:t>
      </w:r>
      <w:r w:rsidR="00602F28">
        <w:t xml:space="preserve">applicable </w:t>
      </w:r>
      <w:r>
        <w:t>procedures.</w:t>
      </w:r>
    </w:p>
    <w:p w14:paraId="01B9E84C" w14:textId="5CD3DF48" w:rsidR="00182EA0" w:rsidRPr="009B27A5" w:rsidRDefault="009B27A5" w:rsidP="00016716">
      <w:pPr>
        <w:pStyle w:val="NormalBody"/>
        <w:rPr>
          <w:spacing w:val="-2"/>
        </w:rPr>
      </w:pPr>
      <w:r w:rsidRPr="009B27A5">
        <w:rPr>
          <w:spacing w:val="-2"/>
        </w:rPr>
        <w:t xml:space="preserve">As set out in the judicial direction of Justice </w:t>
      </w:r>
      <w:r w:rsidRPr="009B27A5">
        <w:rPr>
          <w:i/>
          <w:iCs/>
          <w:spacing w:val="-2"/>
        </w:rPr>
        <w:t>(insert judge’s name)</w:t>
      </w:r>
      <w:r w:rsidRPr="009B27A5">
        <w:rPr>
          <w:spacing w:val="-2"/>
        </w:rPr>
        <w:t>, t</w:t>
      </w:r>
      <w:r w:rsidR="00182EA0" w:rsidRPr="009B27A5">
        <w:rPr>
          <w:spacing w:val="-2"/>
        </w:rPr>
        <w:t xml:space="preserve">he grounds for the court’s consideration are: </w:t>
      </w:r>
      <w:r w:rsidR="00182EA0" w:rsidRPr="009B27A5">
        <w:rPr>
          <w:i/>
          <w:iCs/>
          <w:spacing w:val="-2"/>
        </w:rPr>
        <w:t xml:space="preserve">(Specify the grounds as set out in the </w:t>
      </w:r>
      <w:r w:rsidR="00947851" w:rsidRPr="009B27A5">
        <w:rPr>
          <w:i/>
          <w:iCs/>
          <w:spacing w:val="-2"/>
        </w:rPr>
        <w:t>judicial direction received.</w:t>
      </w:r>
      <w:r w:rsidR="00182EA0" w:rsidRPr="009B27A5">
        <w:rPr>
          <w:i/>
          <w:iCs/>
          <w:spacing w:val="-2"/>
        </w:rPr>
        <w:t>)</w:t>
      </w:r>
    </w:p>
    <w:p w14:paraId="42148AF4" w14:textId="411034CF" w:rsidR="00C13C0A" w:rsidRPr="003C607D" w:rsidRDefault="00C13C0A" w:rsidP="00016716">
      <w:pPr>
        <w:pStyle w:val="NormalBody"/>
      </w:pPr>
      <w:r>
        <w:rPr>
          <w:iCs/>
        </w:rPr>
        <w:lastRenderedPageBreak/>
        <w:t xml:space="preserve">The direction </w:t>
      </w:r>
      <w:r w:rsidR="003C607D">
        <w:rPr>
          <w:iCs/>
        </w:rPr>
        <w:t xml:space="preserve">to prepare this notice is attached. </w:t>
      </w:r>
      <w:r w:rsidR="003C607D" w:rsidRPr="00016716">
        <w:rPr>
          <w:i/>
          <w:iCs/>
        </w:rPr>
        <w:t>(</w:t>
      </w:r>
      <w:r w:rsidR="00F226DA" w:rsidRPr="00016716">
        <w:rPr>
          <w:i/>
          <w:iCs/>
        </w:rPr>
        <w:t>Each</w:t>
      </w:r>
      <w:r w:rsidR="00D9046A" w:rsidRPr="00016716">
        <w:rPr>
          <w:i/>
          <w:iCs/>
        </w:rPr>
        <w:t xml:space="preserve"> copy of the notice served or filed must include the</w:t>
      </w:r>
      <w:r w:rsidR="00E0199B" w:rsidRPr="00016716">
        <w:rPr>
          <w:i/>
          <w:iCs/>
        </w:rPr>
        <w:t xml:space="preserve"> judge’s written</w:t>
      </w:r>
      <w:r w:rsidR="00D9046A" w:rsidRPr="00016716">
        <w:rPr>
          <w:i/>
          <w:iCs/>
        </w:rPr>
        <w:t xml:space="preserve"> </w:t>
      </w:r>
      <w:r w:rsidR="00DD7414" w:rsidRPr="00016716">
        <w:rPr>
          <w:i/>
          <w:iCs/>
        </w:rPr>
        <w:t>direction to the registrar.)</w:t>
      </w:r>
    </w:p>
    <w:p w14:paraId="4B0E8AA6" w14:textId="0EA4D476" w:rsidR="00784F8D" w:rsidRPr="00407CD6" w:rsidRDefault="000B24FF" w:rsidP="00016716">
      <w:pPr>
        <w:pStyle w:val="NormalBody"/>
      </w:pPr>
      <w:r>
        <w:t>To the best it</w:t>
      </w:r>
      <w:r w:rsidR="000949B7">
        <w:t xml:space="preserve"> can be determined, t</w:t>
      </w:r>
      <w:r w:rsidR="00784F8D" w:rsidRPr="00144CF7">
        <w:t xml:space="preserve">he following is a list of ongoing proceedings </w:t>
      </w:r>
      <w:r w:rsidR="0029204F">
        <w:t>in any Ontario court to which</w:t>
      </w:r>
      <w:r w:rsidR="00CA7005" w:rsidRPr="00144CF7">
        <w:t xml:space="preserve"> </w:t>
      </w:r>
      <w:r w:rsidR="00786A69" w:rsidRPr="00E0199B">
        <w:rPr>
          <w:i/>
          <w:iCs/>
        </w:rPr>
        <w:t>(</w:t>
      </w:r>
      <w:r w:rsidR="00786A69" w:rsidRPr="00144CF7">
        <w:rPr>
          <w:i/>
          <w:iCs/>
        </w:rPr>
        <w:t>identify</w:t>
      </w:r>
      <w:r w:rsidR="0029204F">
        <w:rPr>
          <w:i/>
          <w:iCs/>
        </w:rPr>
        <w:t xml:space="preserve"> person who is the potential</w:t>
      </w:r>
      <w:r w:rsidR="00144CF7">
        <w:rPr>
          <w:i/>
          <w:iCs/>
        </w:rPr>
        <w:t xml:space="preserve"> subject of </w:t>
      </w:r>
      <w:r w:rsidR="0029204F">
        <w:rPr>
          <w:i/>
          <w:iCs/>
        </w:rPr>
        <w:t xml:space="preserve">a </w:t>
      </w:r>
      <w:r w:rsidR="00144CF7">
        <w:rPr>
          <w:i/>
          <w:iCs/>
        </w:rPr>
        <w:t>vexatious litigant order</w:t>
      </w:r>
      <w:r w:rsidR="00786A69" w:rsidRPr="00E0199B">
        <w:rPr>
          <w:i/>
          <w:iCs/>
        </w:rPr>
        <w:t>)</w:t>
      </w:r>
      <w:r w:rsidR="0029204F">
        <w:t xml:space="preserve"> is a party</w:t>
      </w:r>
      <w:r w:rsidR="00CA7005" w:rsidRPr="00407CD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022"/>
        <w:gridCol w:w="2022"/>
        <w:gridCol w:w="2022"/>
        <w:gridCol w:w="2008"/>
      </w:tblGrid>
      <w:tr w:rsidR="000219D0" w:rsidRPr="008B153A" w14:paraId="6480BF66" w14:textId="77777777" w:rsidTr="00407CD6">
        <w:tc>
          <w:tcPr>
            <w:tcW w:w="1996" w:type="dxa"/>
            <w:shd w:val="clear" w:color="auto" w:fill="auto"/>
          </w:tcPr>
          <w:p w14:paraId="07E9EF54" w14:textId="2240D2A1" w:rsidR="00784F8D" w:rsidRPr="00211F5A" w:rsidRDefault="00211F5A" w:rsidP="00016716">
            <w:pPr>
              <w:pStyle w:val="TableHeader"/>
            </w:pPr>
            <w:r w:rsidRPr="00211F5A">
              <w:t>COURT FILE NUMBER IN FULL, INCLUDING COURT PREFIX (e.g., CV, SC)</w:t>
            </w:r>
          </w:p>
        </w:tc>
        <w:tc>
          <w:tcPr>
            <w:tcW w:w="2022" w:type="dxa"/>
            <w:shd w:val="clear" w:color="auto" w:fill="auto"/>
          </w:tcPr>
          <w:p w14:paraId="348F2802" w14:textId="77777777" w:rsidR="00784F8D" w:rsidRPr="00407CD6" w:rsidRDefault="00784F8D" w:rsidP="00016716">
            <w:pPr>
              <w:pStyle w:val="TableHeader"/>
            </w:pPr>
            <w:r w:rsidRPr="00407CD6">
              <w:t>LOCATION OF PROCEEDING</w:t>
            </w:r>
          </w:p>
        </w:tc>
        <w:tc>
          <w:tcPr>
            <w:tcW w:w="2022" w:type="dxa"/>
            <w:shd w:val="clear" w:color="auto" w:fill="auto"/>
          </w:tcPr>
          <w:p w14:paraId="72FE9AEE" w14:textId="77777777" w:rsidR="00784F8D" w:rsidRPr="00407CD6" w:rsidRDefault="00784F8D" w:rsidP="00016716">
            <w:pPr>
              <w:pStyle w:val="TableHeader"/>
            </w:pPr>
            <w:r w:rsidRPr="00407CD6">
              <w:t>TITLE OF PROCEEDING</w:t>
            </w:r>
          </w:p>
        </w:tc>
        <w:tc>
          <w:tcPr>
            <w:tcW w:w="2022" w:type="dxa"/>
            <w:shd w:val="clear" w:color="auto" w:fill="auto"/>
          </w:tcPr>
          <w:p w14:paraId="2C8AA43C" w14:textId="30BF5262" w:rsidR="00784F8D" w:rsidRPr="00407CD6" w:rsidRDefault="00784F8D" w:rsidP="00211F5A">
            <w:pPr>
              <w:pStyle w:val="TableHeader"/>
              <w:spacing w:after="120"/>
            </w:pPr>
            <w:r w:rsidRPr="00407CD6">
              <w:t xml:space="preserve">NAME AND ADDRESS FOR SERVICE OF </w:t>
            </w:r>
            <w:r w:rsidR="0041643B" w:rsidRPr="00407CD6">
              <w:t xml:space="preserve">EACH </w:t>
            </w:r>
            <w:r w:rsidRPr="00407CD6">
              <w:t>PARTY TO PROCEEDING</w:t>
            </w:r>
          </w:p>
          <w:p w14:paraId="5DCB4A5E" w14:textId="36ED3DF7" w:rsidR="00784F8D" w:rsidRPr="00016716" w:rsidRDefault="00540D4C" w:rsidP="00211F5A">
            <w:pPr>
              <w:pStyle w:val="NormalBody"/>
              <w:spacing w:after="120"/>
              <w:jc w:val="center"/>
              <w:rPr>
                <w:i/>
                <w:iCs/>
              </w:rPr>
            </w:pPr>
            <w:r w:rsidRPr="00016716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016716">
              <w:rPr>
                <w:i/>
                <w:iCs/>
                <w:sz w:val="20"/>
                <w:szCs w:val="20"/>
              </w:rPr>
              <w:t>specify</w:t>
            </w:r>
            <w:proofErr w:type="gramEnd"/>
            <w:r w:rsidRPr="00016716">
              <w:rPr>
                <w:i/>
                <w:iCs/>
                <w:sz w:val="20"/>
                <w:szCs w:val="20"/>
              </w:rPr>
              <w:t xml:space="preserve"> the name, address and email address (if any) of each party and their lawyer (if any))</w:t>
            </w:r>
          </w:p>
        </w:tc>
        <w:tc>
          <w:tcPr>
            <w:tcW w:w="2008" w:type="dxa"/>
            <w:shd w:val="clear" w:color="auto" w:fill="auto"/>
          </w:tcPr>
          <w:p w14:paraId="5AF0D74E" w14:textId="17C773B9" w:rsidR="00784F8D" w:rsidRPr="00407CD6" w:rsidRDefault="00784F8D" w:rsidP="00016716">
            <w:pPr>
              <w:pStyle w:val="TableHeader"/>
            </w:pPr>
            <w:r w:rsidRPr="00407CD6">
              <w:t>CITATION OF REPORTED DECISION</w:t>
            </w:r>
            <w:r w:rsidR="0041643B" w:rsidRPr="00407CD6">
              <w:t xml:space="preserve"> (IF ANY)</w:t>
            </w:r>
          </w:p>
        </w:tc>
      </w:tr>
      <w:tr w:rsidR="000219D0" w:rsidRPr="008B153A" w14:paraId="75576FB2" w14:textId="77777777" w:rsidTr="00407CD6">
        <w:tc>
          <w:tcPr>
            <w:tcW w:w="1996" w:type="dxa"/>
            <w:shd w:val="clear" w:color="auto" w:fill="auto"/>
          </w:tcPr>
          <w:p w14:paraId="3A3B93C2" w14:textId="7DB630AA" w:rsidR="00784F8D" w:rsidRPr="00016716" w:rsidRDefault="00944BCA" w:rsidP="00016716">
            <w:pPr>
              <w:pStyle w:val="NormalBody"/>
              <w:jc w:val="center"/>
              <w:rPr>
                <w:i/>
                <w:iCs/>
                <w:sz w:val="20"/>
                <w:szCs w:val="20"/>
              </w:rPr>
            </w:pPr>
            <w:r w:rsidRPr="00016716">
              <w:rPr>
                <w:i/>
                <w:iCs/>
                <w:sz w:val="20"/>
                <w:szCs w:val="20"/>
              </w:rPr>
              <w:t>(Begin the list with the proceeding in which this notice is being made)</w:t>
            </w:r>
          </w:p>
        </w:tc>
        <w:tc>
          <w:tcPr>
            <w:tcW w:w="2022" w:type="dxa"/>
            <w:shd w:val="clear" w:color="auto" w:fill="auto"/>
          </w:tcPr>
          <w:p w14:paraId="1AA03BF1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10284473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73D6B695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08" w:type="dxa"/>
            <w:shd w:val="clear" w:color="auto" w:fill="auto"/>
          </w:tcPr>
          <w:p w14:paraId="0F2764EC" w14:textId="77777777" w:rsidR="00784F8D" w:rsidRPr="00407CD6" w:rsidRDefault="00784F8D" w:rsidP="00016716">
            <w:pPr>
              <w:pStyle w:val="TableCell"/>
            </w:pPr>
          </w:p>
        </w:tc>
      </w:tr>
      <w:tr w:rsidR="000219D0" w:rsidRPr="008B153A" w14:paraId="1D408EE2" w14:textId="77777777" w:rsidTr="00407CD6">
        <w:tc>
          <w:tcPr>
            <w:tcW w:w="1996" w:type="dxa"/>
            <w:shd w:val="clear" w:color="auto" w:fill="auto"/>
          </w:tcPr>
          <w:p w14:paraId="3665082F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5CF7CB1D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293801C9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64A94539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08" w:type="dxa"/>
            <w:shd w:val="clear" w:color="auto" w:fill="auto"/>
          </w:tcPr>
          <w:p w14:paraId="4CD1874E" w14:textId="77777777" w:rsidR="00784F8D" w:rsidRPr="00407CD6" w:rsidRDefault="00784F8D" w:rsidP="00016716">
            <w:pPr>
              <w:pStyle w:val="TableCell"/>
            </w:pPr>
          </w:p>
        </w:tc>
      </w:tr>
      <w:tr w:rsidR="000219D0" w:rsidRPr="008B153A" w14:paraId="79E81CAA" w14:textId="77777777" w:rsidTr="00407CD6">
        <w:tc>
          <w:tcPr>
            <w:tcW w:w="1996" w:type="dxa"/>
            <w:shd w:val="clear" w:color="auto" w:fill="auto"/>
          </w:tcPr>
          <w:p w14:paraId="50B63BE2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7A242763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5807FC72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22" w:type="dxa"/>
            <w:shd w:val="clear" w:color="auto" w:fill="auto"/>
          </w:tcPr>
          <w:p w14:paraId="456C8871" w14:textId="77777777" w:rsidR="00784F8D" w:rsidRPr="00407CD6" w:rsidRDefault="00784F8D" w:rsidP="00016716">
            <w:pPr>
              <w:pStyle w:val="TableCell"/>
            </w:pPr>
          </w:p>
        </w:tc>
        <w:tc>
          <w:tcPr>
            <w:tcW w:w="2008" w:type="dxa"/>
            <w:shd w:val="clear" w:color="auto" w:fill="auto"/>
          </w:tcPr>
          <w:p w14:paraId="6FBB2785" w14:textId="77777777" w:rsidR="00784F8D" w:rsidRPr="00407CD6" w:rsidRDefault="00784F8D" w:rsidP="00016716">
            <w:pPr>
              <w:pStyle w:val="TableCell"/>
            </w:pPr>
          </w:p>
        </w:tc>
      </w:tr>
    </w:tbl>
    <w:p w14:paraId="24D836A0" w14:textId="198AB7A7" w:rsidR="00A06D67" w:rsidRPr="00016716" w:rsidRDefault="00407CD6" w:rsidP="00016716">
      <w:pPr>
        <w:pStyle w:val="NormalBody"/>
        <w:rPr>
          <w:i/>
          <w:iCs/>
        </w:rPr>
      </w:pPr>
      <w:r w:rsidRPr="00016716">
        <w:rPr>
          <w:i/>
          <w:iCs/>
        </w:rPr>
        <w:t xml:space="preserve">(Insert additional rows, as necessary) </w:t>
      </w:r>
    </w:p>
    <w:p w14:paraId="6A6AA028" w14:textId="67D835E4" w:rsidR="00CA7005" w:rsidRPr="00944BCA" w:rsidRDefault="000B24FF" w:rsidP="00016716">
      <w:pPr>
        <w:pStyle w:val="NormalBody"/>
      </w:pPr>
      <w:r>
        <w:t>To the best it</w:t>
      </w:r>
      <w:r w:rsidR="000949B7">
        <w:t xml:space="preserve"> can be determined, t</w:t>
      </w:r>
      <w:r w:rsidR="00CA7005" w:rsidRPr="00407CD6">
        <w:t xml:space="preserve">he following is a list of </w:t>
      </w:r>
      <w:r w:rsidR="006D5585">
        <w:t xml:space="preserve">finally </w:t>
      </w:r>
      <w:r w:rsidR="00CA7005" w:rsidRPr="00407CD6">
        <w:t xml:space="preserve">disposed </w:t>
      </w:r>
      <w:r w:rsidR="00944BCA">
        <w:t xml:space="preserve">(concluded) </w:t>
      </w:r>
      <w:r w:rsidR="00CA7005" w:rsidRPr="00407CD6">
        <w:t xml:space="preserve">proceedings </w:t>
      </w:r>
      <w:r w:rsidR="0029204F">
        <w:t xml:space="preserve">in any Ontario court to which </w:t>
      </w:r>
      <w:r w:rsidR="00786A69" w:rsidRPr="00407CD6">
        <w:rPr>
          <w:i/>
          <w:iCs/>
        </w:rPr>
        <w:t>(identify</w:t>
      </w:r>
      <w:r w:rsidR="00144CF7">
        <w:rPr>
          <w:i/>
          <w:iCs/>
        </w:rPr>
        <w:t xml:space="preserve"> </w:t>
      </w:r>
      <w:r w:rsidR="0029204F">
        <w:rPr>
          <w:i/>
          <w:iCs/>
        </w:rPr>
        <w:t xml:space="preserve">person who is the potential </w:t>
      </w:r>
      <w:r w:rsidR="00CF7023">
        <w:rPr>
          <w:i/>
          <w:iCs/>
        </w:rPr>
        <w:t xml:space="preserve">subject of </w:t>
      </w:r>
      <w:r w:rsidR="0029204F">
        <w:rPr>
          <w:i/>
          <w:iCs/>
        </w:rPr>
        <w:t xml:space="preserve">a </w:t>
      </w:r>
      <w:r w:rsidR="00CF7023">
        <w:rPr>
          <w:i/>
          <w:iCs/>
        </w:rPr>
        <w:t>vexatious litigant order</w:t>
      </w:r>
      <w:r w:rsidR="00786A69" w:rsidRPr="00944BCA">
        <w:rPr>
          <w:i/>
          <w:iCs/>
        </w:rPr>
        <w:t>)</w:t>
      </w:r>
      <w:r w:rsidR="0029204F">
        <w:t xml:space="preserve"> was a party</w:t>
      </w:r>
      <w:r w:rsidR="00CA7005" w:rsidRPr="00944BCA"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CA7005" w:rsidRPr="008B153A" w14:paraId="34A2C7A5" w14:textId="77777777">
        <w:tc>
          <w:tcPr>
            <w:tcW w:w="2578" w:type="dxa"/>
            <w:shd w:val="clear" w:color="auto" w:fill="auto"/>
          </w:tcPr>
          <w:p w14:paraId="178F0197" w14:textId="7ACCB677" w:rsidR="00CA7005" w:rsidRPr="00C30FFB" w:rsidRDefault="00C30FFB" w:rsidP="00016716">
            <w:pPr>
              <w:pStyle w:val="TableHeader"/>
            </w:pPr>
            <w:r w:rsidRPr="00C30FFB">
              <w:t xml:space="preserve">COURT FILE NUMBER IN FULL, INCLUDING COURT PREFIX </w:t>
            </w:r>
            <w:r w:rsidR="00F5044C">
              <w:br/>
            </w:r>
            <w:r w:rsidRPr="00C30FFB">
              <w:t>(e.g., CV, SC)</w:t>
            </w:r>
          </w:p>
        </w:tc>
        <w:tc>
          <w:tcPr>
            <w:tcW w:w="2579" w:type="dxa"/>
            <w:shd w:val="clear" w:color="auto" w:fill="auto"/>
          </w:tcPr>
          <w:p w14:paraId="643CB646" w14:textId="77777777" w:rsidR="00CA7005" w:rsidRPr="00407CD6" w:rsidRDefault="00CA7005" w:rsidP="00016716">
            <w:pPr>
              <w:pStyle w:val="TableHeader"/>
            </w:pPr>
            <w:r w:rsidRPr="00407CD6">
              <w:t>LOCATION OF PROCEEDING</w:t>
            </w:r>
          </w:p>
        </w:tc>
        <w:tc>
          <w:tcPr>
            <w:tcW w:w="2578" w:type="dxa"/>
            <w:shd w:val="clear" w:color="auto" w:fill="auto"/>
          </w:tcPr>
          <w:p w14:paraId="08299305" w14:textId="77777777" w:rsidR="00CA7005" w:rsidRPr="00407CD6" w:rsidRDefault="00CA7005" w:rsidP="00016716">
            <w:pPr>
              <w:pStyle w:val="TableHeader"/>
            </w:pPr>
            <w:r w:rsidRPr="00407CD6">
              <w:t>TITLE OF PROCEEDING</w:t>
            </w:r>
          </w:p>
        </w:tc>
        <w:tc>
          <w:tcPr>
            <w:tcW w:w="2579" w:type="dxa"/>
            <w:shd w:val="clear" w:color="auto" w:fill="auto"/>
          </w:tcPr>
          <w:p w14:paraId="3DF9D665" w14:textId="3689C8A6" w:rsidR="00CA7005" w:rsidRPr="00407CD6" w:rsidRDefault="00CA7005" w:rsidP="000B24FF">
            <w:pPr>
              <w:pStyle w:val="TableHeader"/>
              <w:spacing w:after="120"/>
            </w:pPr>
            <w:r w:rsidRPr="00407CD6">
              <w:t>CITATION OF REPORTED DECISION</w:t>
            </w:r>
            <w:r w:rsidR="00CF7023">
              <w:t xml:space="preserve"> (IF AVAILABLE</w:t>
            </w:r>
            <w:r w:rsidR="00D03A60">
              <w:t>)</w:t>
            </w:r>
          </w:p>
        </w:tc>
      </w:tr>
      <w:tr w:rsidR="00CA7005" w:rsidRPr="008B153A" w14:paraId="6756588A" w14:textId="77777777">
        <w:tc>
          <w:tcPr>
            <w:tcW w:w="2578" w:type="dxa"/>
            <w:shd w:val="clear" w:color="auto" w:fill="auto"/>
          </w:tcPr>
          <w:p w14:paraId="63D1CE72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02E9CC86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5E57F3BD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6F2E894E" w14:textId="77777777" w:rsidR="00CA7005" w:rsidRPr="00407CD6" w:rsidRDefault="00CA7005" w:rsidP="00016716">
            <w:pPr>
              <w:pStyle w:val="TableCell"/>
            </w:pPr>
          </w:p>
        </w:tc>
      </w:tr>
      <w:tr w:rsidR="00CA7005" w:rsidRPr="008B153A" w14:paraId="5E7CAC9F" w14:textId="77777777">
        <w:tc>
          <w:tcPr>
            <w:tcW w:w="2578" w:type="dxa"/>
            <w:shd w:val="clear" w:color="auto" w:fill="auto"/>
          </w:tcPr>
          <w:p w14:paraId="768F92DA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7D01A489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431218FA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2854F661" w14:textId="77777777" w:rsidR="00CA7005" w:rsidRPr="00407CD6" w:rsidRDefault="00CA7005" w:rsidP="00016716">
            <w:pPr>
              <w:pStyle w:val="TableCell"/>
            </w:pPr>
          </w:p>
        </w:tc>
      </w:tr>
      <w:tr w:rsidR="00CA7005" w:rsidRPr="008B153A" w14:paraId="0F32EAF0" w14:textId="77777777">
        <w:tc>
          <w:tcPr>
            <w:tcW w:w="2578" w:type="dxa"/>
            <w:shd w:val="clear" w:color="auto" w:fill="auto"/>
          </w:tcPr>
          <w:p w14:paraId="6FF7313E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7928FD6C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8" w:type="dxa"/>
            <w:shd w:val="clear" w:color="auto" w:fill="auto"/>
          </w:tcPr>
          <w:p w14:paraId="348F19A3" w14:textId="77777777" w:rsidR="00CA7005" w:rsidRPr="00407CD6" w:rsidRDefault="00CA7005" w:rsidP="00016716">
            <w:pPr>
              <w:pStyle w:val="TableCell"/>
            </w:pPr>
          </w:p>
        </w:tc>
        <w:tc>
          <w:tcPr>
            <w:tcW w:w="2579" w:type="dxa"/>
            <w:shd w:val="clear" w:color="auto" w:fill="auto"/>
          </w:tcPr>
          <w:p w14:paraId="70D7505D" w14:textId="77777777" w:rsidR="00CA7005" w:rsidRPr="00407CD6" w:rsidRDefault="00CA7005" w:rsidP="00016716">
            <w:pPr>
              <w:pStyle w:val="TableCell"/>
            </w:pPr>
          </w:p>
        </w:tc>
      </w:tr>
    </w:tbl>
    <w:p w14:paraId="57261118" w14:textId="0883C5FA" w:rsidR="00CA7005" w:rsidRPr="00016716" w:rsidRDefault="00407CD6" w:rsidP="00016716">
      <w:pPr>
        <w:pStyle w:val="NormalBody"/>
        <w:rPr>
          <w:i/>
          <w:iCs/>
        </w:rPr>
      </w:pPr>
      <w:r w:rsidRPr="00016716">
        <w:rPr>
          <w:i/>
          <w:iCs/>
        </w:rPr>
        <w:t xml:space="preserve">(Insert additional rows, as necessary) </w:t>
      </w:r>
    </w:p>
    <w:p w14:paraId="3AC952B5" w14:textId="77777777" w:rsidR="005E2CEB" w:rsidRPr="00407CD6" w:rsidRDefault="005E2CEB" w:rsidP="000B24FF">
      <w:pPr>
        <w:pStyle w:val="zparawtab-e"/>
        <w:spacing w:after="240" w:line="240" w:lineRule="auto"/>
        <w:rPr>
          <w:sz w:val="24"/>
          <w:szCs w:val="24"/>
        </w:rPr>
      </w:pPr>
    </w:p>
    <w:p w14:paraId="5876C397" w14:textId="2085FFE1" w:rsidR="005E2CEB" w:rsidRPr="00407CD6" w:rsidRDefault="005E2CEB" w:rsidP="00016716">
      <w:pPr>
        <w:pStyle w:val="NormalBody"/>
        <w:spacing w:after="0"/>
      </w:pPr>
      <w:r w:rsidRPr="00407CD6">
        <w:t>Date ........................................................................</w:t>
      </w:r>
      <w:r w:rsidRPr="00407CD6">
        <w:tab/>
        <w:t>Signed by ..................................................................</w:t>
      </w:r>
    </w:p>
    <w:p w14:paraId="5F3A6FE4" w14:textId="546CFD0D" w:rsidR="005E2CEB" w:rsidRPr="00407CD6" w:rsidRDefault="005E2CEB" w:rsidP="00016716">
      <w:pPr>
        <w:pStyle w:val="NormalBody"/>
      </w:pPr>
      <w:r w:rsidRPr="00407CD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="00016716">
        <w:tab/>
      </w:r>
      <w:r w:rsidRPr="00407CD6">
        <w:t>Local registrar</w:t>
      </w:r>
    </w:p>
    <w:p w14:paraId="2F95CD92" w14:textId="16DE8FBC" w:rsidR="005E2CEB" w:rsidRPr="00016716" w:rsidRDefault="005E2CEB" w:rsidP="00016716">
      <w:pPr>
        <w:pStyle w:val="NormalBody"/>
        <w:ind w:left="6660"/>
        <w:rPr>
          <w:i/>
          <w:iCs/>
        </w:rPr>
      </w:pPr>
      <w:r w:rsidRPr="00016716">
        <w:rPr>
          <w:i/>
          <w:iCs/>
        </w:rPr>
        <w:t>(Address of court office)</w:t>
      </w:r>
    </w:p>
    <w:p w14:paraId="20FC25CB" w14:textId="77777777" w:rsidR="005E2CEB" w:rsidRPr="00407CD6" w:rsidRDefault="005E2CEB" w:rsidP="000B24FF">
      <w:pPr>
        <w:pStyle w:val="zparawtab-e"/>
        <w:spacing w:after="240" w:line="240" w:lineRule="auto"/>
        <w:rPr>
          <w:sz w:val="24"/>
          <w:szCs w:val="24"/>
        </w:rPr>
      </w:pPr>
    </w:p>
    <w:p w14:paraId="0442A8BA" w14:textId="5E4B2797" w:rsidR="005E2CEB" w:rsidRPr="00407CD6" w:rsidRDefault="005E2CEB" w:rsidP="00016716">
      <w:pPr>
        <w:pStyle w:val="NormalBody"/>
      </w:pPr>
      <w:r w:rsidRPr="00407CD6">
        <w:t>TO</w:t>
      </w:r>
      <w:r w:rsidRPr="00407CD6">
        <w:tab/>
        <w:t xml:space="preserve"> </w:t>
      </w:r>
      <w:r w:rsidRPr="00016716">
        <w:rPr>
          <w:i/>
          <w:iCs/>
        </w:rPr>
        <w:t>(Name</w:t>
      </w:r>
      <w:r w:rsidR="00786A69" w:rsidRPr="00016716">
        <w:rPr>
          <w:i/>
          <w:iCs/>
        </w:rPr>
        <w:t>,</w:t>
      </w:r>
      <w:r w:rsidRPr="00016716">
        <w:rPr>
          <w:i/>
          <w:iCs/>
        </w:rPr>
        <w:t xml:space="preserve"> address</w:t>
      </w:r>
      <w:r w:rsidR="00786A69" w:rsidRPr="00016716">
        <w:rPr>
          <w:i/>
          <w:iCs/>
        </w:rPr>
        <w:t>, email address (if any) and telephone number</w:t>
      </w:r>
      <w:r w:rsidRPr="00016716">
        <w:rPr>
          <w:i/>
          <w:iCs/>
        </w:rPr>
        <w:t xml:space="preserve"> of </w:t>
      </w:r>
      <w:r w:rsidR="005F58E0" w:rsidRPr="00016716">
        <w:rPr>
          <w:i/>
          <w:iCs/>
        </w:rPr>
        <w:t xml:space="preserve">each </w:t>
      </w:r>
      <w:r w:rsidRPr="00016716">
        <w:rPr>
          <w:i/>
          <w:iCs/>
        </w:rPr>
        <w:t>lawyer or party)</w:t>
      </w:r>
    </w:p>
    <w:p w14:paraId="0C4FA218" w14:textId="34226021" w:rsidR="005E2CEB" w:rsidRPr="00407CD6" w:rsidRDefault="005E2CEB" w:rsidP="00407CD6">
      <w:pPr>
        <w:pStyle w:val="footnote-e"/>
        <w:spacing w:line="240" w:lineRule="auto"/>
        <w:rPr>
          <w:sz w:val="24"/>
          <w:szCs w:val="24"/>
        </w:rPr>
      </w:pPr>
      <w:r w:rsidRPr="00407CD6">
        <w:rPr>
          <w:sz w:val="24"/>
          <w:szCs w:val="24"/>
        </w:rPr>
        <w:t>RCP-E 2.</w:t>
      </w:r>
      <w:r w:rsidR="006F123E" w:rsidRPr="00407CD6">
        <w:rPr>
          <w:sz w:val="24"/>
          <w:szCs w:val="24"/>
        </w:rPr>
        <w:t>2C</w:t>
      </w:r>
      <w:r w:rsidRPr="00407CD6">
        <w:rPr>
          <w:sz w:val="24"/>
          <w:szCs w:val="24"/>
        </w:rPr>
        <w:t xml:space="preserve"> </w:t>
      </w:r>
      <w:r w:rsidRPr="0006702D">
        <w:rPr>
          <w:sz w:val="24"/>
          <w:szCs w:val="24"/>
        </w:rPr>
        <w:t>(</w:t>
      </w:r>
      <w:r w:rsidR="00D80937" w:rsidRPr="00353D6A">
        <w:rPr>
          <w:sz w:val="24"/>
          <w:szCs w:val="24"/>
        </w:rPr>
        <w:t>June 1</w:t>
      </w:r>
      <w:r w:rsidR="00B5091F" w:rsidRPr="00353D6A">
        <w:rPr>
          <w:sz w:val="24"/>
          <w:szCs w:val="24"/>
        </w:rPr>
        <w:t>,</w:t>
      </w:r>
      <w:r w:rsidRPr="00353D6A">
        <w:rPr>
          <w:sz w:val="24"/>
          <w:szCs w:val="24"/>
        </w:rPr>
        <w:t xml:space="preserve"> 20</w:t>
      </w:r>
      <w:r w:rsidR="006F123E" w:rsidRPr="00353D6A">
        <w:rPr>
          <w:sz w:val="24"/>
          <w:szCs w:val="24"/>
        </w:rPr>
        <w:t>2</w:t>
      </w:r>
      <w:r w:rsidRPr="00353D6A">
        <w:rPr>
          <w:sz w:val="24"/>
          <w:szCs w:val="24"/>
        </w:rPr>
        <w:t>4</w:t>
      </w:r>
      <w:r w:rsidRPr="0006702D">
        <w:rPr>
          <w:sz w:val="24"/>
          <w:szCs w:val="24"/>
        </w:rPr>
        <w:t>)</w:t>
      </w:r>
    </w:p>
    <w:sectPr w:rsidR="005E2CEB" w:rsidRPr="00407CD6" w:rsidSect="00F5121D">
      <w:pgSz w:w="12240" w:h="15840"/>
      <w:pgMar w:top="81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AA1F" w14:textId="77777777" w:rsidR="003E3900" w:rsidRDefault="003E3900" w:rsidP="00EB713A">
      <w:r>
        <w:separator/>
      </w:r>
    </w:p>
  </w:endnote>
  <w:endnote w:type="continuationSeparator" w:id="0">
    <w:p w14:paraId="0A5C2BA8" w14:textId="77777777" w:rsidR="003E3900" w:rsidRDefault="003E3900" w:rsidP="00E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AEFC" w14:textId="77777777" w:rsidR="003E3900" w:rsidRDefault="003E3900" w:rsidP="00EB713A">
      <w:r>
        <w:separator/>
      </w:r>
    </w:p>
  </w:footnote>
  <w:footnote w:type="continuationSeparator" w:id="0">
    <w:p w14:paraId="1E4C6DD9" w14:textId="77777777" w:rsidR="003E3900" w:rsidRDefault="003E3900" w:rsidP="00EB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60C"/>
    <w:multiLevelType w:val="hybridMultilevel"/>
    <w:tmpl w:val="D360C63E"/>
    <w:lvl w:ilvl="0" w:tplc="CB0624E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2D8A73B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47874604">
    <w:abstractNumId w:val="1"/>
  </w:num>
  <w:num w:numId="2" w16cid:durableId="93718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8"/>
    <w:rsid w:val="00002D40"/>
    <w:rsid w:val="00016716"/>
    <w:rsid w:val="0002142B"/>
    <w:rsid w:val="000219D0"/>
    <w:rsid w:val="00026867"/>
    <w:rsid w:val="0004691B"/>
    <w:rsid w:val="0005444D"/>
    <w:rsid w:val="00060DA0"/>
    <w:rsid w:val="00066196"/>
    <w:rsid w:val="00066870"/>
    <w:rsid w:val="0006702D"/>
    <w:rsid w:val="000858A9"/>
    <w:rsid w:val="000949B7"/>
    <w:rsid w:val="000B14BF"/>
    <w:rsid w:val="000B24FF"/>
    <w:rsid w:val="000E3457"/>
    <w:rsid w:val="001143DA"/>
    <w:rsid w:val="00143153"/>
    <w:rsid w:val="00144CF7"/>
    <w:rsid w:val="00145F77"/>
    <w:rsid w:val="00167C2B"/>
    <w:rsid w:val="0018149F"/>
    <w:rsid w:val="00182EA0"/>
    <w:rsid w:val="001A52D6"/>
    <w:rsid w:val="001C1FFD"/>
    <w:rsid w:val="001F0083"/>
    <w:rsid w:val="002034B9"/>
    <w:rsid w:val="00211F5A"/>
    <w:rsid w:val="00250E0E"/>
    <w:rsid w:val="002562AC"/>
    <w:rsid w:val="0026757B"/>
    <w:rsid w:val="00282CF5"/>
    <w:rsid w:val="002834BE"/>
    <w:rsid w:val="0029204F"/>
    <w:rsid w:val="002B5820"/>
    <w:rsid w:val="002B667C"/>
    <w:rsid w:val="002C2418"/>
    <w:rsid w:val="002F2A99"/>
    <w:rsid w:val="002F2D0B"/>
    <w:rsid w:val="003263F6"/>
    <w:rsid w:val="00327966"/>
    <w:rsid w:val="00353D6A"/>
    <w:rsid w:val="003933AD"/>
    <w:rsid w:val="003B14CF"/>
    <w:rsid w:val="003C607D"/>
    <w:rsid w:val="003E3900"/>
    <w:rsid w:val="003E4350"/>
    <w:rsid w:val="003F0D05"/>
    <w:rsid w:val="00400E70"/>
    <w:rsid w:val="00407CD6"/>
    <w:rsid w:val="0041643B"/>
    <w:rsid w:val="0043064D"/>
    <w:rsid w:val="00452A36"/>
    <w:rsid w:val="004736D8"/>
    <w:rsid w:val="004A28AF"/>
    <w:rsid w:val="004D2507"/>
    <w:rsid w:val="0053197C"/>
    <w:rsid w:val="00536B13"/>
    <w:rsid w:val="005409F3"/>
    <w:rsid w:val="00540D4C"/>
    <w:rsid w:val="0058340E"/>
    <w:rsid w:val="005866F1"/>
    <w:rsid w:val="005A4D56"/>
    <w:rsid w:val="005C339A"/>
    <w:rsid w:val="005E2CEB"/>
    <w:rsid w:val="005E44A7"/>
    <w:rsid w:val="005F58E0"/>
    <w:rsid w:val="00602F28"/>
    <w:rsid w:val="006140E0"/>
    <w:rsid w:val="00663624"/>
    <w:rsid w:val="00664018"/>
    <w:rsid w:val="006D5585"/>
    <w:rsid w:val="006D67B7"/>
    <w:rsid w:val="006F123E"/>
    <w:rsid w:val="007269A7"/>
    <w:rsid w:val="00781710"/>
    <w:rsid w:val="00784F8D"/>
    <w:rsid w:val="00786A69"/>
    <w:rsid w:val="007970B8"/>
    <w:rsid w:val="007E473B"/>
    <w:rsid w:val="007E5EEC"/>
    <w:rsid w:val="00864C36"/>
    <w:rsid w:val="0087695E"/>
    <w:rsid w:val="008B153A"/>
    <w:rsid w:val="009157BB"/>
    <w:rsid w:val="009212E6"/>
    <w:rsid w:val="00942063"/>
    <w:rsid w:val="00944BCA"/>
    <w:rsid w:val="00947851"/>
    <w:rsid w:val="009B27A5"/>
    <w:rsid w:val="009D7A74"/>
    <w:rsid w:val="00A06D67"/>
    <w:rsid w:val="00A153AF"/>
    <w:rsid w:val="00A60638"/>
    <w:rsid w:val="00A62775"/>
    <w:rsid w:val="00A94FD0"/>
    <w:rsid w:val="00AA5500"/>
    <w:rsid w:val="00AC7CD1"/>
    <w:rsid w:val="00AE05C9"/>
    <w:rsid w:val="00B012CA"/>
    <w:rsid w:val="00B03BBF"/>
    <w:rsid w:val="00B21684"/>
    <w:rsid w:val="00B40107"/>
    <w:rsid w:val="00B5091F"/>
    <w:rsid w:val="00B56398"/>
    <w:rsid w:val="00B77AA6"/>
    <w:rsid w:val="00B81F7B"/>
    <w:rsid w:val="00B85CF6"/>
    <w:rsid w:val="00BB3246"/>
    <w:rsid w:val="00BC1F24"/>
    <w:rsid w:val="00BD1B4D"/>
    <w:rsid w:val="00BE63A8"/>
    <w:rsid w:val="00BF16FD"/>
    <w:rsid w:val="00BF2B67"/>
    <w:rsid w:val="00BF5003"/>
    <w:rsid w:val="00BF56BD"/>
    <w:rsid w:val="00C00A5B"/>
    <w:rsid w:val="00C13C0A"/>
    <w:rsid w:val="00C162D1"/>
    <w:rsid w:val="00C30FFB"/>
    <w:rsid w:val="00C461FE"/>
    <w:rsid w:val="00C65C96"/>
    <w:rsid w:val="00C80D9F"/>
    <w:rsid w:val="00C8106C"/>
    <w:rsid w:val="00C83D26"/>
    <w:rsid w:val="00CA7005"/>
    <w:rsid w:val="00CC4B3B"/>
    <w:rsid w:val="00CC4CF7"/>
    <w:rsid w:val="00CF7023"/>
    <w:rsid w:val="00D03A60"/>
    <w:rsid w:val="00D37140"/>
    <w:rsid w:val="00D4174A"/>
    <w:rsid w:val="00D80937"/>
    <w:rsid w:val="00D9046A"/>
    <w:rsid w:val="00DC73C8"/>
    <w:rsid w:val="00DD7414"/>
    <w:rsid w:val="00DE2102"/>
    <w:rsid w:val="00DE58D7"/>
    <w:rsid w:val="00E0199B"/>
    <w:rsid w:val="00E32558"/>
    <w:rsid w:val="00E418E1"/>
    <w:rsid w:val="00E436A7"/>
    <w:rsid w:val="00E45244"/>
    <w:rsid w:val="00E555DA"/>
    <w:rsid w:val="00E65B41"/>
    <w:rsid w:val="00E841F2"/>
    <w:rsid w:val="00EA2E5D"/>
    <w:rsid w:val="00EB713A"/>
    <w:rsid w:val="00EB74A2"/>
    <w:rsid w:val="00ED6976"/>
    <w:rsid w:val="00EE315C"/>
    <w:rsid w:val="00EF77D2"/>
    <w:rsid w:val="00F226DA"/>
    <w:rsid w:val="00F2381E"/>
    <w:rsid w:val="00F27132"/>
    <w:rsid w:val="00F5044C"/>
    <w:rsid w:val="00F5121D"/>
    <w:rsid w:val="00F6062F"/>
    <w:rsid w:val="00F6745B"/>
    <w:rsid w:val="00F72B10"/>
    <w:rsid w:val="00F74A0C"/>
    <w:rsid w:val="00F87628"/>
    <w:rsid w:val="00FC4ABB"/>
    <w:rsid w:val="00FF1B33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C0705"/>
  <w15:chartTrackingRefBased/>
  <w15:docId w15:val="{0E892EBF-38E5-4269-8062-FE28C9D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uiPriority w:val="99"/>
    <w:unhideWhenUsed/>
    <w:rsid w:val="0078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F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4F8D"/>
    <w:rPr>
      <w:lang w:eastAsia="en-US"/>
    </w:rPr>
  </w:style>
  <w:style w:type="table" w:styleId="TableGrid">
    <w:name w:val="Table Grid"/>
    <w:basedOn w:val="TableNormal"/>
    <w:uiPriority w:val="39"/>
    <w:rsid w:val="0078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012CA"/>
    <w:rPr>
      <w:b/>
      <w:bCs/>
    </w:rPr>
  </w:style>
  <w:style w:type="character" w:customStyle="1" w:styleId="CommentSubjectChar">
    <w:name w:val="Comment Subject Char"/>
    <w:link w:val="CommentSubject"/>
    <w:rsid w:val="00B012CA"/>
    <w:rPr>
      <w:b/>
      <w:bCs/>
      <w:lang w:eastAsia="en-US"/>
    </w:rPr>
  </w:style>
  <w:style w:type="paragraph" w:styleId="Revision">
    <w:name w:val="Revision"/>
    <w:hidden/>
    <w:uiPriority w:val="99"/>
    <w:semiHidden/>
    <w:rsid w:val="00FF1B33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66362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2D40"/>
    <w:rPr>
      <w:color w:val="605E5C"/>
      <w:shd w:val="clear" w:color="auto" w:fill="E1DFDD"/>
    </w:rPr>
  </w:style>
  <w:style w:type="paragraph" w:customStyle="1" w:styleId="NormalBody">
    <w:name w:val="Normal Body"/>
    <w:basedOn w:val="zparawtab-e"/>
    <w:qFormat/>
    <w:rsid w:val="00016716"/>
    <w:pPr>
      <w:spacing w:after="319" w:line="240" w:lineRule="auto"/>
    </w:pPr>
    <w:rPr>
      <w:rFonts w:ascii="Times New Roman" w:hAnsi="Times New Roman"/>
      <w:sz w:val="24"/>
      <w:szCs w:val="24"/>
    </w:rPr>
  </w:style>
  <w:style w:type="paragraph" w:customStyle="1" w:styleId="FormTitle">
    <w:name w:val="Form Title"/>
    <w:basedOn w:val="subject-e"/>
    <w:qFormat/>
    <w:rsid w:val="00016716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Heading">
    <w:name w:val="Section Heading"/>
    <w:basedOn w:val="zparawtab-e"/>
    <w:qFormat/>
    <w:rsid w:val="00016716"/>
    <w:pPr>
      <w:spacing w:after="319" w:line="240" w:lineRule="auto"/>
    </w:pPr>
    <w:rPr>
      <w:b/>
      <w:bCs/>
      <w:sz w:val="24"/>
      <w:szCs w:val="24"/>
    </w:rPr>
  </w:style>
  <w:style w:type="paragraph" w:customStyle="1" w:styleId="TableHeader">
    <w:name w:val="Table Header"/>
    <w:basedOn w:val="zparawtab-e"/>
    <w:qFormat/>
    <w:rsid w:val="00016716"/>
    <w:pPr>
      <w:spacing w:line="240" w:lineRule="auto"/>
      <w:jc w:val="center"/>
    </w:pPr>
    <w:rPr>
      <w:sz w:val="20"/>
    </w:rPr>
  </w:style>
  <w:style w:type="paragraph" w:customStyle="1" w:styleId="TableCell">
    <w:name w:val="Table Cell"/>
    <w:basedOn w:val="zparawtab-e"/>
    <w:qFormat/>
    <w:rsid w:val="00016716"/>
    <w:pPr>
      <w:spacing w:line="240" w:lineRule="auto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tariocourtforms.on.ca/en/rules-of-civil-procedure-for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ntariocourtforms.on.ca/en/rules-of-civil-procedure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1BA5AC280A49801694DDEBAC5BDF" ma:contentTypeVersion="14" ma:contentTypeDescription="Create a new document." ma:contentTypeScope="" ma:versionID="d7d2c6ff59867b59a0071d7537d23e03">
  <xsd:schema xmlns:xsd="http://www.w3.org/2001/XMLSchema" xmlns:xs="http://www.w3.org/2001/XMLSchema" xmlns:p="http://schemas.microsoft.com/office/2006/metadata/properties" xmlns:ns3="4728da9b-c984-4438-ba6b-dfa6b2b20667" xmlns:ns4="df78f06a-cac6-4040-86c6-a4af9bb69946" targetNamespace="http://schemas.microsoft.com/office/2006/metadata/properties" ma:root="true" ma:fieldsID="3575090913e4235be83d83bd25cc0c83" ns3:_="" ns4:_="">
    <xsd:import namespace="4728da9b-c984-4438-ba6b-dfa6b2b20667"/>
    <xsd:import namespace="df78f06a-cac6-4040-86c6-a4af9bb69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da9b-c984-4438-ba6b-dfa6b2b2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f06a-cac6-4040-86c6-a4af9bb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8da9b-c984-4438-ba6b-dfa6b2b20667" xsi:nil="true"/>
  </documentManagement>
</p:properties>
</file>

<file path=customXml/itemProps1.xml><?xml version="1.0" encoding="utf-8"?>
<ds:datastoreItem xmlns:ds="http://schemas.openxmlformats.org/officeDocument/2006/customXml" ds:itemID="{3ED3EA6E-DA21-4329-A539-AA8367C9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da9b-c984-4438-ba6b-dfa6b2b20667"/>
    <ds:schemaRef ds:uri="df78f06a-cac6-4040-86c6-a4af9bb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7559C-9EC4-493A-8D32-6123D256A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D78ED-75AF-4AF2-B70C-39FC006B2E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8f06a-cac6-4040-86c6-a4af9bb69946"/>
    <ds:schemaRef ds:uri="4728da9b-c984-4438-ba6b-dfa6b2b2066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2.2C</vt:lpstr>
    </vt:vector>
  </TitlesOfParts>
  <Manager/>
  <Company>MAG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2.2C</dc:title>
  <dc:subject>Registrar’s Notice Proposing Consideration of Vexatious Litigant Order</dc:subject>
  <dc:creator>Rottman, M.</dc:creator>
  <cp:keywords/>
  <cp:lastModifiedBy>Rottman, Mike (MAG)</cp:lastModifiedBy>
  <cp:revision>8</cp:revision>
  <cp:lastPrinted>2024-05-03T12:05:00Z</cp:lastPrinted>
  <dcterms:created xsi:type="dcterms:W3CDTF">2024-06-04T16:40:00Z</dcterms:created>
  <dcterms:modified xsi:type="dcterms:W3CDTF">2024-06-10T20:02:00Z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2021-11-10T17:43:38Z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cf5cf7c5-2097-4dd3-b729-a69aa04f5388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0x01010061771BA5AC280A49801694DDEBAC5BDF</vt:lpwstr>
  </property>
</Properties>
</file>