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10919" w14:textId="77777777" w:rsidR="001C0A63" w:rsidRDefault="001C0A63">
      <w:pPr>
        <w:pStyle w:val="form-e"/>
      </w:pPr>
      <w:r>
        <w:t>Form 61J.1</w:t>
      </w:r>
    </w:p>
    <w:p w14:paraId="0236F7DA" w14:textId="77777777" w:rsidR="001C0A63" w:rsidRDefault="001C0A63">
      <w:pPr>
        <w:pStyle w:val="act-e"/>
      </w:pPr>
      <w:r>
        <w:t>Courts of Justice Act</w:t>
      </w:r>
    </w:p>
    <w:p w14:paraId="11CF0BAA" w14:textId="77777777" w:rsidR="001C0A63" w:rsidRDefault="001C0A63">
      <w:pPr>
        <w:pStyle w:val="subject-e"/>
      </w:pPr>
      <w:r>
        <w:t>Order dismissing motion for delay</w:t>
      </w:r>
    </w:p>
    <w:p w14:paraId="4EFF2558" w14:textId="77777777" w:rsidR="001C0A63" w:rsidRDefault="001C0A63">
      <w:pPr>
        <w:pStyle w:val="zparanoindt-e"/>
        <w:spacing w:before="240"/>
        <w:jc w:val="center"/>
        <w:rPr>
          <w:i/>
          <w:iCs/>
        </w:rPr>
      </w:pPr>
      <w:r>
        <w:rPr>
          <w:i/>
          <w:iCs/>
        </w:rPr>
        <w:t>(General heading in accordance with Form 61B)</w:t>
      </w:r>
    </w:p>
    <w:p w14:paraId="2D486E5F" w14:textId="77777777" w:rsidR="001C0A63" w:rsidRDefault="001C0A63">
      <w:pPr>
        <w:pStyle w:val="zparanoindt-e"/>
        <w:spacing w:before="240"/>
        <w:jc w:val="center"/>
      </w:pPr>
      <w:r>
        <w:t>ORDER DISMISSING MOTION FOR DELAY</w:t>
      </w:r>
    </w:p>
    <w:p w14:paraId="4EBEFE57" w14:textId="77777777" w:rsidR="001C0A63" w:rsidRDefault="001C0A63">
      <w:pPr>
        <w:pStyle w:val="zparanoindt-e"/>
        <w:tabs>
          <w:tab w:val="clear" w:pos="239"/>
          <w:tab w:val="clear" w:pos="279"/>
        </w:tabs>
        <w:spacing w:before="240"/>
      </w:pPr>
      <w:r>
        <w:tab/>
        <w:t>The moving party on this motion has not served and filed the motion record, factum and other material in accordance with subrule 61.16 (4) of the Rules of Civil Procedure.</w:t>
      </w:r>
    </w:p>
    <w:p w14:paraId="1030228E" w14:textId="77777777" w:rsidR="001C0A63" w:rsidRDefault="001C0A63">
      <w:pPr>
        <w:pStyle w:val="zparanoindt-e"/>
        <w:tabs>
          <w:tab w:val="clear" w:pos="239"/>
          <w:tab w:val="clear" w:pos="279"/>
        </w:tabs>
        <w:spacing w:before="240"/>
      </w:pPr>
      <w:r>
        <w:tab/>
        <w:t>IT IS ORDERED that this motion be dismissed for delay, with costs fixed at $750, despite rule 58.13.</w:t>
      </w:r>
    </w:p>
    <w:p w14:paraId="21AA57FC" w14:textId="77777777" w:rsidR="001C0A63" w:rsidRDefault="001C0A63">
      <w:pPr>
        <w:pStyle w:val="zparanoindt-e"/>
        <w:tabs>
          <w:tab w:val="clear" w:pos="239"/>
          <w:tab w:val="clear" w:pos="279"/>
        </w:tabs>
        <w:spacing w:before="240"/>
      </w:pPr>
      <w:r>
        <w:t>Date  ..........................................</w:t>
      </w:r>
      <w:r w:rsidR="0094373A">
        <w:t xml:space="preserve">...........................................                   </w:t>
      </w:r>
      <w:r>
        <w:t>Signed by ..................................</w:t>
      </w:r>
      <w:r w:rsidR="0094373A">
        <w:t>..........................................................</w:t>
      </w:r>
    </w:p>
    <w:p w14:paraId="1EFE3371" w14:textId="77777777" w:rsidR="001C0A63" w:rsidRDefault="001C0A63">
      <w:pPr>
        <w:pStyle w:val="zparanoindt-e"/>
        <w:tabs>
          <w:tab w:val="clear" w:pos="239"/>
          <w:tab w:val="clear" w:pos="279"/>
          <w:tab w:val="left" w:pos="1980"/>
        </w:tabs>
        <w:spacing w:before="40"/>
        <w:rPr>
          <w:i/>
          <w:iCs/>
        </w:rPr>
      </w:pPr>
      <w:r>
        <w:tab/>
      </w:r>
      <w:r w:rsidR="0094373A">
        <w:t xml:space="preserve">                                                                                     </w:t>
      </w:r>
      <w:r>
        <w:t xml:space="preserve">Registrar of the Court of Appeal </w:t>
      </w:r>
      <w:r w:rsidRPr="00793D3E">
        <w:rPr>
          <w:iCs/>
        </w:rPr>
        <w:t>(or</w:t>
      </w:r>
      <w:r w:rsidRPr="00793D3E">
        <w:t xml:space="preserve"> </w:t>
      </w:r>
      <w:r>
        <w:t>Divisional Court</w:t>
      </w:r>
      <w:r w:rsidRPr="00793D3E">
        <w:rPr>
          <w:iCs/>
        </w:rPr>
        <w:t>)</w:t>
      </w:r>
    </w:p>
    <w:p w14:paraId="1908482D" w14:textId="77777777" w:rsidR="001C0A63" w:rsidRDefault="001C0A63">
      <w:pPr>
        <w:pStyle w:val="subject-e"/>
      </w:pPr>
    </w:p>
    <w:p w14:paraId="6DC59CD1" w14:textId="77777777" w:rsidR="001C0A63" w:rsidRDefault="001C0A63">
      <w:pPr>
        <w:pStyle w:val="footnote-e"/>
      </w:pPr>
      <w:r>
        <w:t>RCP-E 61J.1 (July 30, 2009)</w:t>
      </w:r>
    </w:p>
    <w:sectPr w:rsidR="001C0A63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1F65C" w14:textId="77777777" w:rsidR="00680CC0" w:rsidRDefault="00680CC0" w:rsidP="00680CC0">
      <w:r>
        <w:separator/>
      </w:r>
    </w:p>
  </w:endnote>
  <w:endnote w:type="continuationSeparator" w:id="0">
    <w:p w14:paraId="1C294833" w14:textId="77777777" w:rsidR="00680CC0" w:rsidRDefault="00680CC0" w:rsidP="0068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D7373" w14:textId="77777777" w:rsidR="00680CC0" w:rsidRDefault="00680CC0" w:rsidP="00680CC0">
      <w:r>
        <w:separator/>
      </w:r>
    </w:p>
  </w:footnote>
  <w:footnote w:type="continuationSeparator" w:id="0">
    <w:p w14:paraId="7EE3D57C" w14:textId="77777777" w:rsidR="00680CC0" w:rsidRDefault="00680CC0" w:rsidP="00680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73A"/>
    <w:rsid w:val="001C0A63"/>
    <w:rsid w:val="00680CC0"/>
    <w:rsid w:val="00793D3E"/>
    <w:rsid w:val="0094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F8A652"/>
  <w15:chartTrackingRefBased/>
  <w15:docId w15:val="{F6A487E7-C66D-4666-A391-17F4F577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insert-e">
    <w:name w:val="insert-e"/>
    <w:pPr>
      <w:keepNext/>
      <w:spacing w:before="230" w:line="179" w:lineRule="exact"/>
      <w:jc w:val="both"/>
    </w:pPr>
    <w:rPr>
      <w:b/>
      <w:i/>
      <w:snapToGrid w:val="0"/>
      <w:lang w:val="en-GB" w:eastAsia="en-US"/>
    </w:rPr>
  </w:style>
  <w:style w:type="paragraph" w:customStyle="1" w:styleId="scanned-e">
    <w:name w:val="scanned-e"/>
    <w:pPr>
      <w:spacing w:before="151"/>
      <w:jc w:val="both"/>
    </w:pPr>
    <w:rPr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61J.1</vt:lpstr>
    </vt:vector>
  </TitlesOfParts>
  <Manager>Fitzpatrick, P.</Manager>
  <Company>MAG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61J.1</dc:title>
  <dc:subject>Form 61J.1, Order Dismissing Motion for Delay</dc:subject>
  <dc:creator>Rottman, M.</dc:creator>
  <cp:keywords/>
  <dc:description/>
  <cp:lastModifiedBy>Schell, Denise (MAG)</cp:lastModifiedBy>
  <cp:revision>2</cp:revision>
  <dcterms:created xsi:type="dcterms:W3CDTF">2021-11-17T18:53:00Z</dcterms:created>
  <dcterms:modified xsi:type="dcterms:W3CDTF">2021-11-17T18:53:00Z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2021-11-17T18:53:00Z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c0f8aaad-79d0-4e97-9ddd-db31398864b4</vt:lpwstr>
  </property>
  <property fmtid="{D5CDD505-2E9C-101B-9397-08002B2CF9AE}" pid="8" name="MSIP_Label_034a106e-6316-442c-ad35-738afd673d2b_ContentBits">
    <vt:lpwstr>0</vt:lpwstr>
  </property>
</Properties>
</file>