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7E51" w14:textId="77777777" w:rsidR="00000000" w:rsidRDefault="00EE332F">
      <w:pPr>
        <w:pStyle w:val="form-f"/>
      </w:pPr>
      <w:r>
        <w:t>Formule 55F</w:t>
      </w:r>
    </w:p>
    <w:p w14:paraId="6E8EA717" w14:textId="77777777" w:rsidR="00000000" w:rsidRDefault="00EE332F">
      <w:pPr>
        <w:pStyle w:val="act-f"/>
      </w:pPr>
      <w:r>
        <w:t>Loi sur les tribunaux judiciaires</w:t>
      </w:r>
    </w:p>
    <w:p w14:paraId="71AD0A00" w14:textId="77777777" w:rsidR="00000000" w:rsidRDefault="00EE332F">
      <w:pPr>
        <w:pStyle w:val="subject-f"/>
      </w:pPr>
      <w:r>
        <w:t>Conditions de la vente</w:t>
      </w:r>
    </w:p>
    <w:p w14:paraId="16658A87" w14:textId="77777777" w:rsidR="00000000" w:rsidRDefault="00EE332F">
      <w:pPr>
        <w:pStyle w:val="zparawtab-f"/>
        <w:tabs>
          <w:tab w:val="clear" w:pos="279"/>
          <w:tab w:val="left" w:pos="359"/>
        </w:tabs>
        <w:spacing w:before="120"/>
      </w:pPr>
      <w:r>
        <w:tab/>
        <w:t>1.</w:t>
      </w:r>
      <w:r>
        <w:tab/>
        <w:t>Nul ne peut offrir un montant inférieur à 10 $ si l’enchère est inférieure à 500 $ et un montant inférieur à 20 $ si l’enchère est sup</w:t>
      </w:r>
      <w:r>
        <w:t>é</w:t>
      </w:r>
      <w:r>
        <w:t xml:space="preserve">rieure à 500 $. Nul ne peut retirer une enchère </w:t>
      </w:r>
      <w:r>
        <w:t>faite.</w:t>
      </w:r>
    </w:p>
    <w:p w14:paraId="50801F81" w14:textId="77777777" w:rsidR="00000000" w:rsidRDefault="00EE332F">
      <w:pPr>
        <w:pStyle w:val="zparawtab-f"/>
        <w:tabs>
          <w:tab w:val="clear" w:pos="279"/>
          <w:tab w:val="left" w:pos="359"/>
        </w:tabs>
      </w:pPr>
      <w:r>
        <w:tab/>
        <w:t>2.</w:t>
      </w:r>
      <w:r>
        <w:tab/>
        <w:t>Le bien est adjugé au plus offrant. Si un différend survient sur la question de savoir qui est le dernier enchérisseur ou le plus o</w:t>
      </w:r>
      <w:r>
        <w:t>f</w:t>
      </w:r>
      <w:r>
        <w:t>frant, le bien est remis aux enchères.</w:t>
      </w:r>
    </w:p>
    <w:p w14:paraId="5E45761F" w14:textId="77777777" w:rsidR="00000000" w:rsidRDefault="00EE332F">
      <w:pPr>
        <w:pStyle w:val="zparawtab-f"/>
        <w:tabs>
          <w:tab w:val="clear" w:pos="279"/>
          <w:tab w:val="left" w:pos="359"/>
        </w:tabs>
      </w:pPr>
      <w:r>
        <w:tab/>
        <w:t>3.</w:t>
      </w:r>
      <w:r>
        <w:tab/>
        <w:t>Toutes les parties à l’instance peuvent participer à l’enchère, à l’ex</w:t>
      </w:r>
      <w:r>
        <w:t>ception de celle qui est responsable de la vente, du fiduciaire ou du mand</w:t>
      </w:r>
      <w:r>
        <w:t>a</w:t>
      </w:r>
      <w:r>
        <w:t>taire de cette partie, et de la personne qui a avec cette dernière un rapport de confiance.</w:t>
      </w:r>
    </w:p>
    <w:p w14:paraId="29D1706F" w14:textId="77777777" w:rsidR="00000000" w:rsidRDefault="00EE332F">
      <w:pPr>
        <w:pStyle w:val="zparawtab-f"/>
        <w:tabs>
          <w:tab w:val="clear" w:pos="279"/>
          <w:tab w:val="left" w:pos="359"/>
        </w:tabs>
      </w:pPr>
      <w:r>
        <w:tab/>
        <w:t>4.</w:t>
      </w:r>
      <w:r>
        <w:tab/>
        <w:t xml:space="preserve">L’adjudicataire, lors de la vente, verse à la partie qui en est responsable, ou </w:t>
      </w:r>
      <w:r>
        <w:rPr>
          <w:iCs/>
        </w:rPr>
        <w:t>à l’a</w:t>
      </w:r>
      <w:r>
        <w:rPr>
          <w:iCs/>
        </w:rPr>
        <w:t>vocat</w:t>
      </w:r>
      <w:r>
        <w:t xml:space="preserve"> de cette partie, un acompte de dix pour cent du prix d’achat. Il acquitte le solde du prix d’achat lorsque la vente est parfaite. Dès qu’il acquitte le solde, l’adjudicataire est fondé à recevoir un acte translatif de propriété et à prendre possessio</w:t>
      </w:r>
      <w:r>
        <w:t>n du bien. Lors de l’enchère, l’adjudicataire signe une entente visant à la conclusion de la vente.</w:t>
      </w:r>
    </w:p>
    <w:p w14:paraId="62D31EC0" w14:textId="77777777" w:rsidR="00000000" w:rsidRDefault="00EE332F">
      <w:pPr>
        <w:pStyle w:val="zparawtab-f"/>
        <w:tabs>
          <w:tab w:val="clear" w:pos="279"/>
          <w:tab w:val="left" w:pos="359"/>
        </w:tabs>
      </w:pPr>
      <w:r>
        <w:tab/>
        <w:t>5.</w:t>
      </w:r>
      <w:r>
        <w:tab/>
        <w:t>L’adjudicataire fait établir l’acte translatif de propriété à ses frais et le soumet à la partie responsable de la vente pour signature.</w:t>
      </w:r>
    </w:p>
    <w:p w14:paraId="584F9014" w14:textId="77777777" w:rsidR="00000000" w:rsidRDefault="00EE332F">
      <w:pPr>
        <w:pStyle w:val="zparawtab-f"/>
        <w:tabs>
          <w:tab w:val="clear" w:pos="279"/>
          <w:tab w:val="left" w:pos="359"/>
        </w:tabs>
      </w:pPr>
      <w:r>
        <w:tab/>
        <w:t>6.</w:t>
      </w:r>
      <w:r>
        <w:tab/>
        <w:t>Si l’adjudi</w:t>
      </w:r>
      <w:r>
        <w:t>cataire ne se conforme pas à ces conditions, il perd son acompte et les paiements effectués, et les biens peuvent être revendus. Il incombe au fol enchérisseur de pallier l’insuffisance des fonds lors de la revente et d’acquitter les frais engagés pour cel</w:t>
      </w:r>
      <w:r>
        <w:t>le-ci ou causés par le défaut de l’adjudicataire.</w:t>
      </w:r>
    </w:p>
    <w:p w14:paraId="7F57316B" w14:textId="77777777" w:rsidR="00000000" w:rsidRDefault="00EE332F">
      <w:pPr>
        <w:pStyle w:val="footnote-f"/>
      </w:pPr>
      <w:r>
        <w:t>RCP-F 55F (1</w:t>
      </w:r>
      <w:r>
        <w:rPr>
          <w:vertAlign w:val="superscript"/>
        </w:rPr>
        <w:t>er</w:t>
      </w:r>
      <w:r>
        <w:t xml:space="preserve"> juillet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9DBE" w14:textId="77777777" w:rsidR="00EE332F" w:rsidRDefault="00EE332F" w:rsidP="00EE332F">
      <w:r>
        <w:separator/>
      </w:r>
    </w:p>
  </w:endnote>
  <w:endnote w:type="continuationSeparator" w:id="0">
    <w:p w14:paraId="45651019" w14:textId="77777777" w:rsidR="00EE332F" w:rsidRDefault="00EE332F" w:rsidP="00EE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8908" w14:textId="77777777" w:rsidR="00EE332F" w:rsidRDefault="00EE332F" w:rsidP="00EE332F">
      <w:r>
        <w:separator/>
      </w:r>
    </w:p>
  </w:footnote>
  <w:footnote w:type="continuationSeparator" w:id="0">
    <w:p w14:paraId="339952D7" w14:textId="77777777" w:rsidR="00EE332F" w:rsidRDefault="00EE332F" w:rsidP="00EE3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32F"/>
    <w:rsid w:val="00EE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9AC03"/>
  <w15:chartTrackingRefBased/>
  <w15:docId w15:val="{1A082E40-0B85-4769-AF36-4C93B269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Formule 55F Conditions de la vente</vt:lpstr>
    </vt:vector>
  </TitlesOfParts>
  <Company>Gouvernement de l’Ontario</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55F Conditions de la vente</dc:title>
  <dc:subject>RCP-F 55F (1er juillet 2007)</dc:subject>
  <dc:creator>Comité des règles en matière civile</dc:creator>
  <cp:keywords/>
  <dc:description/>
  <cp:lastModifiedBy>Schell, Denise (MAG)</cp:lastModifiedBy>
  <cp:revision>2</cp:revision>
  <cp:lastPrinted>2007-07-31T18:49:00Z</cp:lastPrinted>
  <dcterms:created xsi:type="dcterms:W3CDTF">2021-11-22T16:48:00Z</dcterms:created>
  <dcterms:modified xsi:type="dcterms:W3CDTF">2021-11-22T16:48:00Z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2021-11-22T16:48:25Z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a223c205-5baa-448b-b010-2da8e2d406e3</vt:lpwstr>
  </property>
  <property fmtid="{D5CDD505-2E9C-101B-9397-08002B2CF9AE}" pid="8" name="MSIP_Label_034a106e-6316-442c-ad35-738afd673d2b_ContentBits">
    <vt:lpwstr>0</vt:lpwstr>
  </property>
</Properties>
</file>